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48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0"/>
          <w:szCs w:val="20"/>
          <w:color w:val="auto"/>
        </w:rPr>
      </w:pPr>
    </w:p>
    <w:p>
      <w:pPr>
        <w:ind w:right="2880" w:firstLine="8"/>
        <w:spacing w:after="0" w:line="501" w:lineRule="auto"/>
        <w:tabs>
          <w:tab w:leader="none" w:pos="10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ANNUAL REPORT PURSUANT TO SECTION 13 or 15(d) OF THE SECURITIES EXCHANGE ACT OF 1934 For the fiscal year ended September 30, 2004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2440" w:firstLine="8"/>
        <w:spacing w:after="0" w:line="525" w:lineRule="auto"/>
        <w:tabs>
          <w:tab w:leader="none" w:pos="2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1-13292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jc w:val="center"/>
              <w:ind w:left="3296"/>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460" w:type="dxa"/>
            <w:vAlign w:val="bottom"/>
            <w:gridSpan w:val="2"/>
            <w:shd w:val="clear" w:color="auto" w:fill="EEEEEE"/>
          </w:tcPr>
          <w:p>
            <w:pPr>
              <w:jc w:val="right"/>
              <w:ind w:right="1437"/>
              <w:spacing w:after="0"/>
              <w:rPr>
                <w:sz w:val="20"/>
                <w:szCs w:val="20"/>
                <w:color w:val="auto"/>
              </w:rPr>
            </w:pPr>
            <w:r>
              <w:rPr>
                <w:rFonts w:ascii="Times New Roman" w:cs="Times New Roman" w:eastAsia="Times New Roman" w:hAnsi="Times New Roman"/>
                <w:sz w:val="18"/>
                <w:szCs w:val="18"/>
                <w:b w:val="1"/>
                <w:bCs w:val="1"/>
                <w:color w:val="auto"/>
              </w:rPr>
              <w:t>31-1414921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320" w:type="dxa"/>
            <w:vAlign w:val="bottom"/>
          </w:tcPr>
          <w:p>
            <w:pPr>
              <w:spacing w:after="0"/>
              <w:rPr>
                <w:sz w:val="24"/>
                <w:szCs w:val="24"/>
                <w:color w:val="auto"/>
              </w:rPr>
            </w:pPr>
          </w:p>
        </w:tc>
        <w:tc>
          <w:tcPr>
            <w:tcW w:w="5140" w:type="dxa"/>
            <w:vAlign w:val="bottom"/>
          </w:tcPr>
          <w:p>
            <w:pPr>
              <w:jc w:val="center"/>
              <w:ind w:left="1177"/>
              <w:spacing w:after="0"/>
              <w:rPr>
                <w:sz w:val="20"/>
                <w:szCs w:val="20"/>
                <w:color w:val="auto"/>
              </w:rPr>
            </w:pPr>
            <w:r>
              <w:rPr>
                <w:rFonts w:ascii="Times New Roman" w:cs="Times New Roman" w:eastAsia="Times New Roman" w:hAnsi="Times New Roman"/>
                <w:sz w:val="18"/>
                <w:szCs w:val="18"/>
                <w:color w:val="auto"/>
                <w:w w:val="97"/>
              </w:rPr>
              <w:t>(I.R.S. Employer Identification No.)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shd w:val="clear" w:color="auto" w:fill="EEEEEE"/>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6"/>
              </w:rPr>
              <w:t>14111 Scottslawn Road, Marysville, Ohio</w:t>
            </w:r>
          </w:p>
        </w:tc>
        <w:tc>
          <w:tcPr>
            <w:tcW w:w="5460" w:type="dxa"/>
            <w:vAlign w:val="bottom"/>
            <w:gridSpan w:val="2"/>
            <w:shd w:val="clear" w:color="auto" w:fill="EEEEEE"/>
          </w:tcPr>
          <w:p>
            <w:pPr>
              <w:jc w:val="right"/>
              <w:ind w:right="1637"/>
              <w:spacing w:after="0"/>
              <w:rPr>
                <w:sz w:val="20"/>
                <w:szCs w:val="20"/>
                <w:color w:val="auto"/>
              </w:rPr>
            </w:pPr>
            <w:r>
              <w:rPr>
                <w:rFonts w:ascii="Times New Roman" w:cs="Times New Roman" w:eastAsia="Times New Roman" w:hAnsi="Times New Roman"/>
                <w:sz w:val="18"/>
                <w:szCs w:val="18"/>
                <w:b w:val="1"/>
                <w:bCs w:val="1"/>
                <w:color w:val="auto"/>
              </w:rPr>
              <w:t>43041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20" w:type="dxa"/>
            <w:vAlign w:val="bottom"/>
          </w:tcPr>
          <w:p>
            <w:pPr>
              <w:spacing w:after="0"/>
              <w:rPr>
                <w:sz w:val="24"/>
                <w:szCs w:val="24"/>
                <w:color w:val="auto"/>
              </w:rPr>
            </w:pPr>
          </w:p>
        </w:tc>
        <w:tc>
          <w:tcPr>
            <w:tcW w:w="5140" w:type="dxa"/>
            <w:vAlign w:val="bottom"/>
          </w:tcPr>
          <w:p>
            <w:pPr>
              <w:jc w:val="center"/>
              <w:ind w:left="1177"/>
              <w:spacing w:after="0"/>
              <w:rPr>
                <w:sz w:val="20"/>
                <w:szCs w:val="20"/>
                <w:color w:val="auto"/>
              </w:rPr>
            </w:pPr>
            <w:r>
              <w:rPr>
                <w:rFonts w:ascii="Times New Roman" w:cs="Times New Roman" w:eastAsia="Times New Roman" w:hAnsi="Times New Roman"/>
                <w:sz w:val="18"/>
                <w:szCs w:val="18"/>
                <w:color w:val="auto"/>
                <w:w w:val="95"/>
              </w:rPr>
              <w:t>(Zip Code)</w:t>
            </w:r>
          </w:p>
        </w:tc>
        <w:tc>
          <w:tcPr>
            <w:tcW w:w="0" w:type="dxa"/>
            <w:vAlign w:val="bottom"/>
          </w:tcPr>
          <w:p>
            <w:pPr>
              <w:spacing w:after="0"/>
              <w:rPr>
                <w:sz w:val="1"/>
                <w:szCs w:val="1"/>
                <w:color w:val="auto"/>
              </w:rPr>
            </w:pPr>
          </w:p>
        </w:tc>
      </w:tr>
      <w:tr>
        <w:trPr>
          <w:trHeight w:val="39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1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937-644-0011</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9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80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r>
        <w:trPr>
          <w:trHeight w:val="430"/>
        </w:trPr>
        <w:tc>
          <w:tcPr>
            <w:tcW w:w="5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3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-34925</wp:posOffset>
            </wp:positionV>
            <wp:extent cx="139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16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Common Shares of the registrant outstanding as of November 1, 2004 was 32,884,347.</w:t>
      </w:r>
    </w:p>
    <w:p>
      <w:pPr>
        <w:spacing w:after="0" w:line="225" w:lineRule="exact"/>
        <w:rPr>
          <w:sz w:val="20"/>
          <w:szCs w:val="20"/>
          <w:color w:val="auto"/>
        </w:rPr>
      </w:pPr>
    </w:p>
    <w:p>
      <w:pPr>
        <w:spacing w:after="0"/>
        <w:tabs>
          <w:tab w:leader="none" w:pos="8180" w:val="left"/>
          <w:tab w:leader="none" w:pos="86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Act).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5372735</wp:posOffset>
            </wp:positionH>
            <wp:positionV relativeFrom="paragraph">
              <wp:posOffset>-10160</wp:posOffset>
            </wp:positionV>
            <wp:extent cx="139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205"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26, 2004) was approximately $1,361,700,000.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225"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Portions of the definitive Proxy Statement for Registrant’s 2005 Annual Meeting of Shareholders to be held January 27, 2005, which is included in the Registration Statement on Form S-4, filed on the date hereof,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Scotts Company, an Ohio corporation, is the combination of two of the most innovative companies in the consumer lawn and garden market:</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O.M. Scott &amp; Sons, which traces its heritage back to a company founded by O.M. Scott in Marysville, Ohio in 1868, and Stern’s Miracle-Gro Products, Inc., which traces its heritage back to a company formed on Long Island by Horace Hagedorn and his partner in 1951. In the mid 1900’s, Scotts had become widely known for innovation in the development of quality lawn fertilizers and grass seeds that led to the creation of a new industry — consumer lawn care. Today, we believe the Scotts®, Turf Builder®, Miracle-Gro® and Ortho® brands are among the most widely recognized brands in the U.S. consumer lawn and garden care industry. We are also Monsanto’s exclusive agent for the marketing and distribution of consumer Roundup®* non-selective herbicide within the United States and other contractually specified countries.</w:t>
      </w:r>
    </w:p>
    <w:p>
      <w:pPr>
        <w:spacing w:after="0" w:line="22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fiscal 1995, through a stock for stock acquisition, Scotts and Miracle-Gro joined forces in what became the start of several acquisitions of other leading brands in the lawn and garden industry in North America and Europe. In the late 1990’s, we completed several acquisitions in Europe which gave us well-known brands in France, Germany and the United Kingdom. We have also rapidly expanded into the lawn care service industry with the launch of Scotts LawnService® in fiscal 1997. In fiscal 1999, we acquired the Ortho® brand and exclusive rights to market the consumer Roundup® brand, thereby adding industry-leading pesticides and herbicides to our controls portfolio.</w:t>
      </w:r>
    </w:p>
    <w:p>
      <w:pPr>
        <w:spacing w:after="0" w:line="220" w:lineRule="exact"/>
        <w:rPr>
          <w:sz w:val="20"/>
          <w:szCs w:val="20"/>
          <w:color w:val="auto"/>
        </w:rPr>
      </w:pPr>
    </w:p>
    <w:p>
      <w:pPr>
        <w:ind w:right="340" w:firstLine="324"/>
        <w:spacing w:after="0" w:line="262" w:lineRule="auto"/>
        <w:rPr>
          <w:sz w:val="20"/>
          <w:szCs w:val="20"/>
          <w:color w:val="auto"/>
        </w:rPr>
      </w:pPr>
      <w:r>
        <w:rPr>
          <w:rFonts w:ascii="Times New Roman" w:cs="Times New Roman" w:eastAsia="Times New Roman" w:hAnsi="Times New Roman"/>
          <w:sz w:val="18"/>
          <w:szCs w:val="18"/>
          <w:color w:val="auto"/>
        </w:rPr>
        <w:t>We believe that our market leadership in the lawn and garden category is driven by our widely-recognized brands, consumer-focused marketing, superior product performance, supply chain competency, highly knowledgeable field sales and merchandising organization, and the strength of our relationships with major retailers in our product categories.</w:t>
      </w:r>
    </w:p>
    <w:p>
      <w:pPr>
        <w:spacing w:after="0" w:line="21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maintain an Internet website at http://www.investor.scotts.com. (this uniform resource locator, or URL, is an inactive textual reference only and is not intended to incorporate our website into this Form 10-K). We file our reports with the Securities and Exchange Commission (the “SEC”) and make available, free of charge, on or through this website, our annual reports on Form 10-K, quarterly reports on Form 10-Q, current reports on Form 8-K, proxy and information statements and amendments to these reports filed or furnished pursuant to Section 13(a) or 15(d) of the Securities Exchange Act of 1934, as amended, as soon as reasonably practicable after we electronically file such material with, or furnish it to, the SEC.</w:t>
      </w:r>
    </w:p>
    <w:p>
      <w:pPr>
        <w:spacing w:after="0" w:line="22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of the materials we file with the SEC may also be read and copied at the SEC’s Public Reference Room at 450 Fifth Street, NW, Washington, DC 20549. Information on the operation of the SEC’s Public Reference Room may be obtained by calling the SEC at 1-800-SEC-0330. The SEC maintains an Internet website that contains reports, proxy and information statements, and other information regarding issuers that file electronically with the SEC at http://www.sec.gov.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4" w:lineRule="exact"/>
        <w:rPr>
          <w:sz w:val="20"/>
          <w:szCs w:val="20"/>
          <w:color w:val="auto"/>
        </w:rPr>
      </w:pPr>
    </w:p>
    <w:p>
      <w:pPr>
        <w:ind w:right="180" w:firstLine="270"/>
        <w:spacing w:after="0" w:line="339" w:lineRule="auto"/>
        <w:rPr>
          <w:sz w:val="20"/>
          <w:szCs w:val="20"/>
          <w:color w:val="auto"/>
        </w:rPr>
      </w:pPr>
      <w:r>
        <w:rPr>
          <w:rFonts w:ascii="Times New Roman" w:cs="Times New Roman" w:eastAsia="Times New Roman" w:hAnsi="Times New Roman"/>
          <w:sz w:val="16"/>
          <w:szCs w:val="16"/>
          <w:color w:val="auto"/>
        </w:rPr>
        <w:t>We believe we are the world’s largest marketer of branded consumer lawn and garden fertilizers, control products and value-added growing media products. We have been able to achieve our market leading position through a combination of internal growth, driven by product line extensions and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0"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Roundup® is a registered trademark of Monsanto Technology LLC, a company affiliated with Monsanto Company.</w:t>
      </w:r>
    </w:p>
    <w:p>
      <w:pPr>
        <w:spacing w:after="0" w:line="236"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-197485</wp:posOffset>
            </wp:positionV>
            <wp:extent cx="386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winning advertising campaigns, and acquisitions. Our portfolio of consumer brands in North America includes the following:</w:t>
      </w:r>
    </w:p>
    <w:p>
      <w:pPr>
        <w:spacing w:after="0" w:line="223" w:lineRule="exact"/>
        <w:rPr>
          <w:sz w:val="20"/>
          <w:szCs w:val="20"/>
          <w:color w:val="auto"/>
        </w:rPr>
      </w:pPr>
    </w:p>
    <w:tbl>
      <w:tblPr>
        <w:tblLayout w:type="fixed"/>
        <w:tblInd w:w="34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Category</w:t>
            </w:r>
          </w:p>
        </w:tc>
        <w:tc>
          <w:tcPr>
            <w:tcW w:w="32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Brands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Lawns</w:t>
            </w:r>
          </w:p>
        </w:tc>
        <w:tc>
          <w:tcPr>
            <w:tcW w:w="3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Scotts®; Turf Builder®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Gardens</w:t>
            </w: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Miracle-Gro®; Osmocote®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Growing Media</w:t>
            </w:r>
          </w:p>
        </w:tc>
        <w:tc>
          <w:tcPr>
            <w:tcW w:w="3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Miracle-Gro®; Scotts®; Hyponex®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Grass Seed</w:t>
            </w: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Scotts®; Turf Builder®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Controls</w:t>
            </w:r>
          </w:p>
        </w:tc>
        <w:tc>
          <w:tcPr>
            <w:tcW w:w="326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Ortho®; Roundup®, Killex®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Outdoor Living</w:t>
            </w:r>
          </w:p>
        </w:tc>
        <w:tc>
          <w:tcPr>
            <w:tcW w:w="32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Smith &amp; Hawken® (acquired October 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40" w:firstLine="324"/>
        <w:spacing w:after="0" w:line="310" w:lineRule="auto"/>
        <w:rPr>
          <w:sz w:val="20"/>
          <w:szCs w:val="20"/>
          <w:color w:val="auto"/>
        </w:rPr>
      </w:pPr>
      <w:r>
        <w:rPr>
          <w:rFonts w:ascii="Times New Roman" w:cs="Times New Roman" w:eastAsia="Times New Roman" w:hAnsi="Times New Roman"/>
          <w:sz w:val="16"/>
          <w:szCs w:val="16"/>
          <w:color w:val="auto"/>
        </w:rPr>
        <w:t>In addition, we have the following significant brands in Europe: Miracle-Gro® plant fertilizers, Weedol® and Pathclear® herbicides, EverGreen® lawn fertilizers and Levington® growing media in the United Kingdom, KB® and Fertiligène® in France, Celaflor®, Nexa-Lotte® and Substral® in Germany and Austria, and ASEF®, KB® and Substral® in the Benelux countries. Scotts’ market leadership is evidenced by the brand recognition across all product categories.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fiscal 2004, we divided our business into three reporting segments:</w:t>
      </w:r>
    </w:p>
    <w:p>
      <w:pPr>
        <w:spacing w:after="0" w:line="225" w:lineRule="exact"/>
        <w:rPr>
          <w:sz w:val="20"/>
          <w:szCs w:val="20"/>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w:t>
      </w:r>
    </w:p>
    <w:p>
      <w:pPr>
        <w:spacing w:after="0" w:line="36"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Scotts LawnService®; and</w:t>
      </w:r>
    </w:p>
    <w:p>
      <w:pPr>
        <w:spacing w:after="0" w:line="36"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w:t>
      </w:r>
    </w:p>
    <w:p>
      <w:pPr>
        <w:spacing w:after="0" w:line="2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These segments differ from those used in the prior year due to the absorption of the Global Professional segment into the North America and International segments based on geography. This new division of reportable segments is consistent with how the segments report to and are managed by senior management of the Company. Financial information about these segments for the three years ended September 30, 2004 is presented in Note 21 to the Consolidated Financial Statements.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254"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In our North America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In addition, we manufacture and market a broad line of professional products designed to meet the specific needs of commercial nurseries, greenhouses and specialty crop growers in North America. Our products include:</w:t>
      </w:r>
    </w:p>
    <w:p>
      <w:pPr>
        <w:spacing w:after="0" w:line="215" w:lineRule="exact"/>
        <w:rPr>
          <w:sz w:val="20"/>
          <w:szCs w:val="20"/>
          <w:color w:val="auto"/>
        </w:rPr>
      </w:pPr>
    </w:p>
    <w:p>
      <w:pPr>
        <w:jc w:val="both"/>
        <w:ind w:right="180" w:firstLine="27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Turf Builder®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sell a complete line of granular lawn fertilizer and combination products which include fertilizer and crabgrass control, weed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pest control under the Scotts® Turf Builder® brand name. The Turf Builder® line of products is designed to make it easy for do-it-yourself consumers to select and properly apply the right product in the right quantity for their lawns.</w:t>
      </w:r>
    </w:p>
    <w:p>
      <w:pPr>
        <w:spacing w:after="0" w:line="208" w:lineRule="exact"/>
        <w:rPr>
          <w:sz w:val="20"/>
          <w:szCs w:val="20"/>
          <w:color w:val="auto"/>
        </w:rPr>
      </w:pPr>
    </w:p>
    <w:p>
      <w:pPr>
        <w:ind w:right="140" w:firstLine="27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Miracle-Gro®</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sell a complete line of plant foods under the Miracle-Gro® brand name. The leading product is a water-soluble plant food that,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dissolved in water, creates a diluted nutrient solution which is poured over plants or sprayed through an applicator and rapidly absorbed by a plant’s roots and leaves. Miracle-Gro® products are specially formulated to give different kinds of plants the right kind of nutrition. While Miracle-Gro® All-Purpose Water-Soluble Plant Food is the leading product in the Miracle-Gro® line by market share, the Miracle-Gro® line includes other products such as Miracle-Gro® Rose Plant Food, Miracle-Gro® Tomato Plant Food, Miracle-Gro® Lawn Food and Miracle-Gro® Bloom Booster®. Miracle-Gro continues to develop ways to improve the convenience of its products for the consumer. The Miracle-Gro® Garden Feeder provides consumers with an easy, fast and effective way to feed all the plants in their garden. We have also introduced a high quality, slow release line of Miracle-Gro® plant foods for extended feeding convenience sold as Miracle-Gro® Shake ’N Feed®.</w:t>
      </w:r>
    </w:p>
    <w:p>
      <w:pPr>
        <w:spacing w:after="0" w:line="219" w:lineRule="exact"/>
        <w:rPr>
          <w:sz w:val="20"/>
          <w:szCs w:val="20"/>
          <w:color w:val="auto"/>
        </w:rPr>
      </w:pPr>
    </w:p>
    <w:p>
      <w:pPr>
        <w:ind w:right="400" w:firstLine="270"/>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Ortho®</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sell a broad line of weed control, indoor and outdoor pest control and plant disease control products under the Ortho® brand name. Ortho®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are available in aerosol, liquid ready-to-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118745</wp:posOffset>
            </wp:positionV>
            <wp:extent cx="386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60"/>
        <w:spacing w:after="0" w:line="275" w:lineRule="auto"/>
        <w:rPr>
          <w:sz w:val="20"/>
          <w:szCs w:val="20"/>
          <w:color w:val="auto"/>
        </w:rPr>
      </w:pPr>
      <w:r>
        <w:rPr>
          <w:rFonts w:ascii="Times New Roman" w:cs="Times New Roman" w:eastAsia="Times New Roman" w:hAnsi="Times New Roman"/>
          <w:sz w:val="18"/>
          <w:szCs w:val="18"/>
          <w:color w:val="auto"/>
        </w:rPr>
        <w:t>use, concentrated, granular and dust forms. Ortho® control products include Weed-B-Gon®, Bug-B-Gon® Max™, Home Defense®, Ortho® Season-Long Grass &amp; Weed Killer, Brush-B-Gon®, RosePride®, Ortho-Klor®, and Orthene® Fire Ant Killer.</w:t>
      </w:r>
    </w:p>
    <w:p>
      <w:pPr>
        <w:spacing w:after="0" w:line="199" w:lineRule="exact"/>
        <w:rPr>
          <w:sz w:val="20"/>
          <w:szCs w:val="20"/>
          <w:color w:val="auto"/>
        </w:rPr>
      </w:pPr>
    </w:p>
    <w:p>
      <w:pPr>
        <w:ind w:firstLine="27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Growing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sell a complete line of growing media products for indoor and outdoor uses under the Miracle-Gro®, Scotts®, Hyponex®, Earthgro®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Nature Scapes® brand names, as well as other labels. These products include potting mix, garden soils, topsoil, manures, sphagnum peat and decorative barks and mulches. The addition of the Miracle-Gro® brand name and fertilizer to potting mix and garden soils has turned previously low-margin commodity products into value-added category leaders.</w:t>
      </w:r>
    </w:p>
    <w:p>
      <w:pPr>
        <w:spacing w:after="0" w:line="214" w:lineRule="exact"/>
        <w:rPr>
          <w:sz w:val="20"/>
          <w:szCs w:val="20"/>
          <w:color w:val="auto"/>
        </w:rPr>
      </w:pPr>
    </w:p>
    <w:p>
      <w:pPr>
        <w:jc w:val="both"/>
        <w:ind w:right="500" w:firstLine="27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Roundup®</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1998, we entered into a long-term marketing agreement with Monsanto and became Monsanto’s exclusive agent for the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of consumer Roundup® non-selective herbicide products in the consumer lawn and garden market within the United States and other specified countries, including Australia, Austria, Canada, France, Germany, Belgium, Holland and the United Kingdom.</w:t>
      </w:r>
    </w:p>
    <w:p>
      <w:pPr>
        <w:spacing w:after="0" w:line="208" w:lineRule="exact"/>
        <w:rPr>
          <w:sz w:val="20"/>
          <w:szCs w:val="20"/>
          <w:color w:val="auto"/>
        </w:rPr>
      </w:pPr>
    </w:p>
    <w:p>
      <w:pPr>
        <w:ind w:right="160" w:firstLine="27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Branded Plants.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arrange for the sale of high-quality annual plants to retailers. The annuals are produced by independent growers according to a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protocol and branded with the Miracle-Gro® trademark, in accordance with a licensing agreement. We receive a fee for each branded plant that is sold to a retailer.</w:t>
      </w:r>
    </w:p>
    <w:p>
      <w:pPr>
        <w:spacing w:after="0" w:line="208" w:lineRule="exact"/>
        <w:rPr>
          <w:sz w:val="20"/>
          <w:szCs w:val="20"/>
          <w:color w:val="auto"/>
        </w:rPr>
      </w:pPr>
    </w:p>
    <w:p>
      <w:pPr>
        <w:ind w:right="60" w:firstLine="27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Other Consumer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manufacture and market several lines of high quality lawn spreaders under the Scotts® brand name — Edge Guard®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spreaders, SpeedyGreen® rotary spreaders, AccuGreen® drop spreaders and Handy Green® II handheld spreaders. We sell a line of hose-end applicators for water-soluble plant foods such as Miracle-Gro® products, a line of pottery products, and lines of applicators under the Ortho®, Dial ’N Spray®, and Pull ’N Spray® trademarks for the application of certain insect control products. We also sell numerous varieties and blends of high quality grass seed, many of them proprietary, designed for different conditions and geographies. These consumer grass seed products are sold under the Scotts® Pure Premium®, Scotts® Turf Builder®, Scotts® and PatchMaster® brands.</w:t>
      </w:r>
    </w:p>
    <w:p>
      <w:pPr>
        <w:spacing w:after="0" w:line="220" w:lineRule="exact"/>
        <w:rPr>
          <w:sz w:val="20"/>
          <w:szCs w:val="20"/>
          <w:color w:val="auto"/>
        </w:rPr>
      </w:pPr>
    </w:p>
    <w:p>
      <w:pPr>
        <w:ind w:right="200" w:firstLine="27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North American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sell professional products to commercial nurseries, greenhouses and specialty crop growers in North America,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Caribbean and throughout Latin America. Our professional products include a broad line of sophisticated controlled-release fertilizers, water-soluble fertilizers, pesticide products and wetting agents which are sold under brand names that include Banrot®, Miracle-Gro®, Osmocote®, Peters®, Poly-S®, Rout®, ScottKote®, Sierrablen®, Shamrock® and Sierra®.</w:t>
      </w:r>
    </w:p>
    <w:p>
      <w:pPr>
        <w:spacing w:after="0" w:line="214" w:lineRule="exact"/>
        <w:rPr>
          <w:sz w:val="20"/>
          <w:szCs w:val="20"/>
          <w:color w:val="auto"/>
        </w:rPr>
      </w:pPr>
    </w:p>
    <w:p>
      <w:pPr>
        <w:jc w:val="both"/>
        <w:ind w:right="520" w:firstLine="270"/>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the leading marketer of branded consumer lawn and garden products in the Canadian market. We sell a full range of lawn and garden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fertilizer, control products, grass seed, spreaders, and value-added growing media products under the Scotts®, Turf Builder®, Miracle Gro®, Killex®, and Roundup® brands.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Scotts LawnService®</w:t>
      </w:r>
    </w:p>
    <w:p>
      <w:pPr>
        <w:spacing w:after="0" w:line="254" w:lineRule="exact"/>
        <w:rPr>
          <w:sz w:val="20"/>
          <w:szCs w:val="20"/>
          <w:color w:val="auto"/>
        </w:rPr>
      </w:pPr>
    </w:p>
    <w:p>
      <w:pPr>
        <w:ind w:right="420" w:firstLine="270"/>
        <w:spacing w:after="0" w:line="258" w:lineRule="auto"/>
        <w:rPr>
          <w:sz w:val="20"/>
          <w:szCs w:val="20"/>
          <w:color w:val="auto"/>
        </w:rPr>
      </w:pPr>
      <w:r>
        <w:rPr>
          <w:rFonts w:ascii="Times New Roman" w:cs="Times New Roman" w:eastAsia="Times New Roman" w:hAnsi="Times New Roman"/>
          <w:sz w:val="18"/>
          <w:szCs w:val="18"/>
          <w:color w:val="auto"/>
        </w:rPr>
        <w:t>In addition to our products, we provide residential lawn care, lawn aeration, tree and shrub care and external pest control services through our Scotts LawnService® business in the United States. These services consist primarily of fertilizer, weed control, pest control and disease control applications. As of September 30, 2004, Scotts LawnService® had 68 Company-operated locations serving 49 metropolitan markets and 74 independent franchises primarily operating in secondary markets.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254" w:lineRule="exact"/>
        <w:rPr>
          <w:sz w:val="20"/>
          <w:szCs w:val="20"/>
          <w:color w:val="auto"/>
        </w:rPr>
      </w:pPr>
    </w:p>
    <w:p>
      <w:pPr>
        <w:ind w:right="700" w:firstLine="270"/>
        <w:spacing w:after="0" w:line="339" w:lineRule="auto"/>
        <w:rPr>
          <w:sz w:val="20"/>
          <w:szCs w:val="20"/>
          <w:color w:val="auto"/>
        </w:rPr>
      </w:pPr>
      <w:r>
        <w:rPr>
          <w:rFonts w:ascii="Times New Roman" w:cs="Times New Roman" w:eastAsia="Times New Roman" w:hAnsi="Times New Roman"/>
          <w:sz w:val="16"/>
          <w:szCs w:val="16"/>
          <w:color w:val="auto"/>
        </w:rPr>
        <w:t>In our International segment, we sell consumer lawn and garden products in over 25 countries outside of North America. We also sell a broad line of professional products throughout Europe, the Far East, Australia, New Zealand and Japan to commercial nurseries, greenhouses and specialty retailers.</w:t>
      </w:r>
    </w:p>
    <w:p>
      <w:pPr>
        <w:spacing w:after="0" w:line="15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Our International products and brand names vary from country to country depending upon the market conditions, brand name strength and the nature of our strategic relationships in a given country. For example, in the United Kingdom, we sell Miracle-Gro® plant fertilizers, Weedol® and Pathclear® herbicides, EverGreen® lawn fertilizers and Levington® growing media. Our other international brands include KB®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Fertiligène® in France, Celaflor®, Nexa-Lotte® and Substral® in Germany and Austria, and ASEF®, KB® and Substral® in the Benelux countries.</w:t>
      </w:r>
    </w:p>
    <w:p>
      <w:pPr>
        <w:spacing w:after="0" w:line="252" w:lineRule="exact"/>
        <w:rPr>
          <w:sz w:val="20"/>
          <w:szCs w:val="20"/>
          <w:color w:val="auto"/>
        </w:rPr>
      </w:pPr>
    </w:p>
    <w:p>
      <w:pPr>
        <w:ind w:right="620" w:firstLine="324"/>
        <w:spacing w:after="0" w:line="275" w:lineRule="auto"/>
        <w:rPr>
          <w:sz w:val="20"/>
          <w:szCs w:val="20"/>
          <w:color w:val="auto"/>
        </w:rPr>
      </w:pPr>
      <w:r>
        <w:rPr>
          <w:rFonts w:ascii="Times New Roman" w:cs="Times New Roman" w:eastAsia="Times New Roman" w:hAnsi="Times New Roman"/>
          <w:sz w:val="18"/>
          <w:szCs w:val="18"/>
          <w:color w:val="auto"/>
        </w:rPr>
        <w:t>For information concerning risks attendant to our foreign operations, please see “ITEM 7. MANAGEMENT’S DISCUSSION AND ANALYSIS OF FINANCIAL CONDITION AND RESULTS OF OPERATIONS — Forward-Looking Statements.”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Smith &amp; Hawken®</w:t>
      </w:r>
    </w:p>
    <w:p>
      <w:pPr>
        <w:spacing w:after="0" w:line="254"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Effective October 2, 2004, Scotts acquired Smith &amp; Hawken®, a leading brand in the fast growing outdoor living and gardening lifestyle category. Smith &amp; Hawken® products, which include high-end outdoor furniture, pottery, garden tools, gardening containers and live goods, are sold in the United States through its 58 retail stores, as well as through catalog and Internet sales. For further details concerning the acquisition of this business, please refer to Note 5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4"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color w:val="auto"/>
        </w:rPr>
        <w:t>We believe strongly in the benefits of research and development, and we continually invest in research and development to improve existing or develop new products, manufacturing processes and packaging and delivery systems. Our spending on research and development approximated 1.7% ($34.4 million), 1.6% ($30.4 million), and 1.5% ($26.2 million) of net sales in fiscal 2004, fiscal 2003, and fiscal 2002, respectively. Our research and development spending included $6.8 million, $6.3 million and $5.3 million in fiscal 2004, fiscal 2003, and fiscal 2002, respectively, related to environmental and regulatory expenses. We believe that our long-standing commitment to innovation has benefited us, as evidenced by a portfolio of patents worldwide that support many of our fertilizers, grass seeds and application devices. In addition to the benefits of our own research and development, we benefit from the research and development activities of our suppliers.</w:t>
      </w:r>
    </w:p>
    <w:p>
      <w:pPr>
        <w:spacing w:after="0" w:line="222" w:lineRule="exact"/>
        <w:rPr>
          <w:sz w:val="20"/>
          <w:szCs w:val="20"/>
          <w:color w:val="auto"/>
        </w:rPr>
      </w:pPr>
    </w:p>
    <w:p>
      <w:pPr>
        <w:ind w:right="280" w:firstLine="324"/>
        <w:spacing w:after="0" w:line="262" w:lineRule="auto"/>
        <w:rPr>
          <w:sz w:val="20"/>
          <w:szCs w:val="20"/>
          <w:color w:val="auto"/>
        </w:rPr>
      </w:pPr>
      <w:r>
        <w:rPr>
          <w:rFonts w:ascii="Times New Roman" w:cs="Times New Roman" w:eastAsia="Times New Roman" w:hAnsi="Times New Roman"/>
          <w:sz w:val="18"/>
          <w:szCs w:val="18"/>
          <w:color w:val="auto"/>
        </w:rPr>
        <w:t>Our research and development worldwide headquarters is located at the Dwight G. Scott Research Center in Marysville, Ohio. We also have research and development facilities in Levington, the United Kingdom; Chazay, France; Heerlen, the Netherlands and Sydney, Australia, as well as several research field stations located throughout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Biotechnology</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We believe that the development and commercialization of innovative products is an important key to our continued success.</w:t>
      </w:r>
    </w:p>
    <w:p>
      <w:pPr>
        <w:spacing w:after="0" w:line="252" w:lineRule="exact"/>
        <w:rPr>
          <w:sz w:val="20"/>
          <w:szCs w:val="20"/>
          <w:color w:val="auto"/>
        </w:rPr>
      </w:pPr>
    </w:p>
    <w:p>
      <w:pPr>
        <w:ind w:right="60" w:firstLine="324"/>
        <w:spacing w:after="0" w:line="296" w:lineRule="auto"/>
        <w:rPr>
          <w:sz w:val="20"/>
          <w:szCs w:val="20"/>
          <w:color w:val="auto"/>
        </w:rPr>
      </w:pPr>
      <w:r>
        <w:rPr>
          <w:rFonts w:ascii="Times New Roman" w:cs="Times New Roman" w:eastAsia="Times New Roman" w:hAnsi="Times New Roman"/>
          <w:sz w:val="16"/>
          <w:szCs w:val="16"/>
          <w:color w:val="auto"/>
        </w:rPr>
        <w:t>We have a long history of dedication to responsible research in search of more effective and easier to use products, that are preferred by consumers and are better for the environment. In particular, we have worked for over 75 years to create better products for the establishment and maintenance of turfgrass. Plant breeding has been a part of that research and development for the past 50 years. We remain dedicated to being the technology leader in turfgrass products. Today, that dedication results in research into products that can be enhanced, not only with traditional plant breeding, but also with proven agricultural biotechnology. This research offers the long term promise of grasses that require less maintenance, less water, and are even better for the environment.</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Before a product enhanced with biotechnology may be sold in the United States, it must be “deregulated” by appropriate governmental agencies. Deregulation involves compliance with the rules and regulations of, and cooperation with, the United States Department of Agriculture, Animal and Plant Health Inspection Service (the “USDA”), the United States Environmental Protection Agency (the “U.S. EPA”) and/or the Food and Drug Administration (the “FDA”). Therefore, any enhanced product for which we seek commercialization through submission of a petition for deregulation will be subjected to rigorous and thorough governmental regulatory review.</w:t>
      </w:r>
    </w:p>
    <w:p>
      <w:pPr>
        <w:spacing w:after="0" w:line="22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More specifically, as part of the deregulation process for any product enhanced with biotechnology, we are required to present evidence to the USDA in the form of scientifically rigorous studies showing that the product poses no additional toxicological or ecological risk than products of the same species that have not been enhanced with biotechnology. We are also required to satisfy other agencies, such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ind w:right="700"/>
        <w:spacing w:after="0" w:line="275" w:lineRule="auto"/>
        <w:rPr>
          <w:sz w:val="20"/>
          <w:szCs w:val="20"/>
          <w:color w:val="auto"/>
        </w:rPr>
      </w:pPr>
      <w:r>
        <w:rPr>
          <w:rFonts w:ascii="Times New Roman" w:cs="Times New Roman" w:eastAsia="Times New Roman" w:hAnsi="Times New Roman"/>
          <w:sz w:val="18"/>
          <w:szCs w:val="18"/>
          <w:color w:val="auto"/>
        </w:rPr>
        <w:t>U.S. EPA and the FDA, as to their appropriate areas of regulatory authority. This process typically takes years to complete and also includes at least two opportunities for public comment.</w:t>
      </w:r>
    </w:p>
    <w:p>
      <w:pPr>
        <w:spacing w:after="0" w:line="20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submitted a petition for deregulation of a non-residential turfgrass product enhanced with biotechnology to the USDA on April 30, 2002. This turfgrass has been shown, through our research trials, to provide simple, more flexible and better weed control for golf courses in a manner that we believe is more environmentally friendly. The USDA requested additional information and data. We determined that it was more expedient to withdraw the petition and submit a revised petition that addressed the USDA’s requests than to amend the current petition. On October 3, 2002, we withdrew our petition. We prepared a revised petition that addresses the USDA’s requests and submitted it on April 14, 2003. The USDA has a variety of options in adjudicating a petition to “deregulate” a biotechnology-derived plant product. The USDA has decided to employ the formal Environmental Impact Statement (“EIS”) process to judge the acceptability of our petition for deregulation. Scotts welcomes this process as the most thorough evaluative step available to the USDA.</w:t>
      </w:r>
    </w:p>
    <w:p>
      <w:pPr>
        <w:spacing w:after="0" w:line="222"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There can be no assurance that our petition for deregulation of this turfgrass product enhanced with biotechnology will be approved, or that if approved and commercially introduced, it will generate any revenues or contribute to our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and Licenses</w:t>
      </w:r>
    </w:p>
    <w:p>
      <w:pPr>
        <w:spacing w:after="0" w:line="254" w:lineRule="exact"/>
        <w:rPr>
          <w:sz w:val="20"/>
          <w:szCs w:val="20"/>
          <w:color w:val="auto"/>
        </w:rPr>
      </w:pPr>
    </w:p>
    <w:p>
      <w:pPr>
        <w:ind w:right="120" w:firstLine="270"/>
        <w:spacing w:after="0" w:line="262" w:lineRule="auto"/>
        <w:rPr>
          <w:sz w:val="20"/>
          <w:szCs w:val="20"/>
          <w:color w:val="auto"/>
        </w:rPr>
      </w:pPr>
      <w:r>
        <w:rPr>
          <w:rFonts w:ascii="Times New Roman" w:cs="Times New Roman" w:eastAsia="Times New Roman" w:hAnsi="Times New Roman"/>
          <w:sz w:val="18"/>
          <w:szCs w:val="18"/>
          <w:color w:val="auto"/>
        </w:rPr>
        <w:t>The Scotts®, Miracle-Gro®, Hyponex®, Smith &amp; Hawken® and Ortho® brand names and logos, as well as a number of product trademarks, including Turf Builder®, Osmocote® and Peters®, are federally and/or internationally registered and are considered material to our business. We regularly monitor our trademark registrations, which are generally effective for ten years, so that we can renew those nearing expiration.</w:t>
      </w:r>
    </w:p>
    <w:p>
      <w:pPr>
        <w:spacing w:after="0" w:line="21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2004, we held 96 issued patents in the United States covering fertilizer, chemical and growing media compositions and processes; grass varieties; and applicator and sprayer devices. Many of these patents have also been issued internationally, bringing our total worldwide patent portfolio to 443. United States and International patents provide patent protection generally extending to 20 years from the date of filing, subject to the payment of applicable governmental maintenance and annuity fees. Accordingly, many of our patents will extend well into the next decade.</w:t>
      </w:r>
    </w:p>
    <w:p>
      <w:pPr>
        <w:spacing w:after="0" w:line="21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In addition, we continue to file new patent applications each year. Currently, we have 141 pending patent applications worldwide. We also hold exclusive and non-exclusive patent licenses from various raw material suppliers, permitting the use and sale of additional patented fertilizers and pesticides.</w:t>
      </w:r>
    </w:p>
    <w:p>
      <w:pPr>
        <w:spacing w:after="0" w:line="20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fiscal 2004, we were granted three United States and 24 international patents. The new U.S. patents cover coated fertilizers that are specifically formulated to act as starter fertilizers for new plantings; coated fertilizers having coatings that can be triggered to begin nutrient release at specific times and growing media prepared from surfactants mixed with coir material to provide controlled nutrient release characteristics. Internationally, we continue to extend patent coverage of our core fertilizer technologies including controlled-release and water-soluble products. We also are extending protection of our developments in regard to aquaculture, growing media, applicator and sprayer technologies to additional countries within our Canadian, European and Asia/ Pacific markets. Significant accomplishments are the extension of our coir/peat international patent coverage, our “Grasshopper” applicator products within the European markets, our “Pull ’N Spray” sprayer in New Zealand and additional coverage of our Ortho applicator technology in both Canada and Japan.</w:t>
      </w:r>
    </w:p>
    <w:p>
      <w:pPr>
        <w:spacing w:after="0" w:line="222" w:lineRule="exact"/>
        <w:rPr>
          <w:sz w:val="20"/>
          <w:szCs w:val="20"/>
          <w:color w:val="auto"/>
        </w:rPr>
      </w:pPr>
    </w:p>
    <w:p>
      <w:pPr>
        <w:jc w:val="both"/>
        <w:ind w:right="180" w:firstLine="324"/>
        <w:spacing w:after="0" w:line="258" w:lineRule="auto"/>
        <w:rPr>
          <w:sz w:val="20"/>
          <w:szCs w:val="20"/>
          <w:color w:val="auto"/>
        </w:rPr>
      </w:pPr>
      <w:r>
        <w:rPr>
          <w:rFonts w:ascii="Times New Roman" w:cs="Times New Roman" w:eastAsia="Times New Roman" w:hAnsi="Times New Roman"/>
          <w:sz w:val="18"/>
          <w:szCs w:val="18"/>
          <w:color w:val="auto"/>
        </w:rPr>
        <w:t>Two patents are scheduled to expire in fiscal 2005. The loss of these patents is not expected to materially affect the business. We have one patent currently being opposed by a third party in Europe. In regard to this opposed patent, the European Patent Office (EPO) earlier in calendar year 2004 rendered a favorable decision. However, the opposing party has appealed that decision. A ruling on the appeal is not expected until calendar year 2006. An unfavorable ruling by the EPO in the appeal could materially affect our indoor pest control market share in Germany.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Roundup® Marketing Agreement</w:t>
      </w:r>
    </w:p>
    <w:p>
      <w:pPr>
        <w:spacing w:after="0" w:line="254" w:lineRule="exact"/>
        <w:rPr>
          <w:sz w:val="20"/>
          <w:szCs w:val="20"/>
          <w:color w:val="auto"/>
        </w:rPr>
      </w:pPr>
    </w:p>
    <w:p>
      <w:pPr>
        <w:ind w:right="60" w:firstLine="270"/>
        <w:spacing w:after="0" w:line="275" w:lineRule="auto"/>
        <w:rPr>
          <w:sz w:val="20"/>
          <w:szCs w:val="20"/>
          <w:color w:val="auto"/>
        </w:rPr>
      </w:pPr>
      <w:r>
        <w:rPr>
          <w:rFonts w:ascii="Times New Roman" w:cs="Times New Roman" w:eastAsia="Times New Roman" w:hAnsi="Times New Roman"/>
          <w:sz w:val="18"/>
          <w:szCs w:val="18"/>
          <w:color w:val="auto"/>
        </w:rPr>
        <w:t>On September 30, 1998, we entered into a marketing agreement with Monsanto and became Monsanto’s exclusive agent for the marketing and distribution of consumer Roundup® products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380"/>
        <w:spacing w:after="0" w:line="275" w:lineRule="auto"/>
        <w:rPr>
          <w:sz w:val="20"/>
          <w:szCs w:val="20"/>
          <w:color w:val="auto"/>
        </w:rPr>
      </w:pPr>
      <w:r>
        <w:rPr>
          <w:rFonts w:ascii="Times New Roman" w:cs="Times New Roman" w:eastAsia="Times New Roman" w:hAnsi="Times New Roman"/>
          <w:sz w:val="18"/>
          <w:szCs w:val="18"/>
          <w:color w:val="auto"/>
        </w:rPr>
        <w:t>additional rights to new products containing glyphosate or other similar non-selective herbicides) in the consumer lawn and garden market within the United States and other specified countries, including Australia, Austria, Canada, France, Germany and the United Kingdom.</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marketing agreement, we and Monsanto are jointly responsible for developing global consumer and trade marketing programs for consumer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Roundup®. We have assumed responsibility for sales support, merchandising, distribution and logistics for Roundup®. Monsanto continues to own the consumer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Roundup® business and provides significant oversight of its brand. In addition, Monsanto continues to own and operate the agricultural Roundup® business.</w:t>
      </w:r>
    </w:p>
    <w:p>
      <w:pPr>
        <w:spacing w:after="0" w:line="24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compensated under the marketing agreement based on the success of the consumer Roundup® business in the markets covered by the agreement. We receive a graduated commission to the extent that the earnings before interest and taxes of the consumer Roundup® business in the included markets exceed specified thresholds. Regardless of these earnings, we are required to make an annual contribution payment against the overall expenses of the Roundup® business. For fiscal 2004, and until 2018 or the earlier termination of the agreement, the minimum annual contribution payment is $25 million and may be higher if certain significant earnings targets are achieved.</w:t>
      </w:r>
    </w:p>
    <w:p>
      <w:pPr>
        <w:spacing w:after="0" w:line="22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Our net commission under the marketing agreement is equal to the graduated commission amount described above, less the applicable contribution payment and amortization of the marketing rights advance payment. For fiscal 2004 and fiscal 2003, the net commission was $28.5 million and $17.6 million, respectively. For further details, see Note 3 to the Consolidated Financial Statements.</w:t>
      </w:r>
    </w:p>
    <w:p>
      <w:pPr>
        <w:spacing w:after="0" w:line="21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marketing agreement has no definite term, except as it relates to the European Union countries. With respect to the European Union countries, the initial term of the marketing agreement extends through September 30, 2005. The parties may agree to renew the agreement with respect to the European Union countries for three successive terms ending on September 30, 2008, 2015 and 2018, with a separate determination being made by the parties at least six months prior to the expiration of each such term as to whether to commence a subsequent renewal term. However, if Monsanto does not agree to any of the renewal terms with respect to the European Union countries, the commission structure will be recalculated in a manner likely to be favorable to us.</w:t>
      </w:r>
    </w:p>
    <w:p>
      <w:pPr>
        <w:spacing w:after="0" w:line="22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Monsanto has the right to terminate the marketing agreement upon certain specified events of default by Scotts, including an uncured material breach, material fraud, material misconduct or egregious injury to the Roundup® brand. Monsanto also has the right to terminate the agreement upon a change of control of Monsanto or the sale of the consumer Roundup® business. In addition, Monsanto may terminate the agreement within specified regions, including North America, for specified declines in the consumer Roundup® business.</w:t>
      </w:r>
    </w:p>
    <w:p>
      <w:pPr>
        <w:spacing w:after="0" w:line="2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We have rights similar to Monsanto’s to terminate the marketing agreement upon an uncured material breach, material fraud or material willful misconduct by Monsanto. In addition, we may terminate the agreement upon Monsanto’s sale of the consumer Roundup® business or in certain other circumstances, in which case we would not be able to collect the termination fee described below.</w:t>
      </w:r>
    </w:p>
    <w:p>
      <w:pPr>
        <w:spacing w:after="0" w:line="21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Monsanto terminates the marketing agreement upon a change of control of Monsanto or the sale of the consumer Roundup® business prior to September 30, 2008, we will be entitled to a termination fee in excess of $100 million. If we terminate the agreement upon an uncured material breach, material fraud or material willful misconduct by Monsanto, we will be entitled to receive a termination fee in excess of $100 million if the termination occurs prior to September 30, 2008. The termination fee declines over time from in excess of $100 million to a minimum of $16 million for terminations between September 30, 2008 and September 30, 2018.</w:t>
      </w:r>
    </w:p>
    <w:p>
      <w:pPr>
        <w:spacing w:after="0" w:line="220" w:lineRule="exact"/>
        <w:rPr>
          <w:sz w:val="20"/>
          <w:szCs w:val="20"/>
          <w:color w:val="auto"/>
        </w:rPr>
      </w:pPr>
    </w:p>
    <w:p>
      <w:pPr>
        <w:ind w:right="400" w:firstLine="324"/>
        <w:spacing w:after="0" w:line="256" w:lineRule="auto"/>
        <w:rPr>
          <w:sz w:val="20"/>
          <w:szCs w:val="20"/>
          <w:color w:val="auto"/>
        </w:rPr>
      </w:pPr>
      <w:r>
        <w:rPr>
          <w:rFonts w:ascii="Times New Roman" w:cs="Times New Roman" w:eastAsia="Times New Roman" w:hAnsi="Times New Roman"/>
          <w:sz w:val="18"/>
          <w:szCs w:val="18"/>
          <w:color w:val="auto"/>
        </w:rPr>
        <w:t>Monsanto has agreed to provide us with notice of any proposed sale of the consumer Roundup® business, allow us to participate in the sale process and negotiate in good faith with us with respect to a sale. In the event that we acquire the consumer Roundup® business in such a sale, we would receive credit against the purchase price in the amount of the termination fee that would otherwise have been paid to us upon termination by Monsanto of the marketing agreement upon the sale. If Monsanto decides to sell the consumer Roundup® business to another party, we must let Monsanto know whether we intend to terminate the marketing agreement and forfeit any right to a termination fee or whether we will agree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260"/>
        <w:spacing w:after="0" w:line="275" w:lineRule="auto"/>
        <w:rPr>
          <w:sz w:val="20"/>
          <w:szCs w:val="20"/>
          <w:color w:val="auto"/>
        </w:rPr>
      </w:pPr>
      <w:r>
        <w:rPr>
          <w:rFonts w:ascii="Times New Roman" w:cs="Times New Roman" w:eastAsia="Times New Roman" w:hAnsi="Times New Roman"/>
          <w:sz w:val="18"/>
          <w:szCs w:val="18"/>
          <w:color w:val="auto"/>
        </w:rPr>
        <w:t>continue to perform under the agreement on behalf of the purchaser, unless and until the purchaser terminates our services and pays any applicable termination fee.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4" w:lineRule="exact"/>
        <w:rPr>
          <w:sz w:val="20"/>
          <w:szCs w:val="20"/>
          <w:color w:val="auto"/>
        </w:rPr>
      </w:pPr>
    </w:p>
    <w:p>
      <w:pPr>
        <w:ind w:right="560" w:firstLine="270"/>
        <w:spacing w:after="0" w:line="275" w:lineRule="auto"/>
        <w:rPr>
          <w:sz w:val="20"/>
          <w:szCs w:val="20"/>
          <w:color w:val="auto"/>
        </w:rPr>
      </w:pPr>
      <w:r>
        <w:rPr>
          <w:rFonts w:ascii="Times New Roman" w:cs="Times New Roman" w:eastAsia="Times New Roman" w:hAnsi="Times New Roman"/>
          <w:sz w:val="18"/>
          <w:szCs w:val="18"/>
          <w:color w:val="auto"/>
        </w:rPr>
        <w:t>Each of our segments participates in markets that are highly competitive. Many of our competitors sell their products at prices lower than ours, and we compete primarily on the basis of product quality, product performance, supply chain efficiencies, value, brand strength and advertising.</w:t>
      </w:r>
    </w:p>
    <w:p>
      <w:pPr>
        <w:spacing w:after="0" w:line="201" w:lineRule="exact"/>
        <w:rPr>
          <w:sz w:val="20"/>
          <w:szCs w:val="20"/>
          <w:color w:val="auto"/>
        </w:rPr>
      </w:pPr>
    </w:p>
    <w:p>
      <w:pPr>
        <w:ind w:right="100" w:firstLine="324"/>
        <w:spacing w:after="0" w:line="296" w:lineRule="auto"/>
        <w:rPr>
          <w:sz w:val="20"/>
          <w:szCs w:val="20"/>
          <w:color w:val="auto"/>
        </w:rPr>
      </w:pPr>
      <w:r>
        <w:rPr>
          <w:rFonts w:ascii="Times New Roman" w:cs="Times New Roman" w:eastAsia="Times New Roman" w:hAnsi="Times New Roman"/>
          <w:sz w:val="16"/>
          <w:szCs w:val="16"/>
          <w:color w:val="auto"/>
        </w:rPr>
        <w:t>In the North American consumer do-it-yourself lawn and garden markets and pest control markets, we compete primarily against “control label” products as well as branded products. “Control label” products are those sold under a retailer-owned label or a supplier-owned label, which are sold exclusively at a specific retail chain. The control label products that we compete with include Vigoro® products sold at Home Depot, Sta-Green® products sold at Lowe’s, and KGro® products sold at Kmart. Our competitors in branded lawn and garden products and the consumer pest control markets include United Industries Corporation, Bayer AG, Central Garden &amp; Pet Company, Garden Tech, Enforcer Products, Inc., Green Light Company and Lebanon Chemical Corp.</w:t>
      </w:r>
    </w:p>
    <w:p>
      <w:pPr>
        <w:spacing w:after="0" w:line="189"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With respect to growing media products, in addition to nationally distributed, branded competitive products, we face competition from regional competitors who compete primarily on the basis of price for commodity growing media business.</w:t>
      </w:r>
    </w:p>
    <w:p>
      <w:pPr>
        <w:spacing w:after="0" w:line="20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21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TruGreen-ChemLawn®, a division of ServiceMaster, has the leading market share in the U.S. lawn care service market and has a substantially larger share of this market than Scotts LawnService®.</w:t>
      </w:r>
    </w:p>
    <w:p>
      <w:pPr>
        <w:spacing w:after="0" w:line="201"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Kali &amp; Salz, Norsk Hydro ASA, Haifa Chemicals Ltd. and Kemira Oyj. We also face competition from control label products.</w:t>
      </w:r>
    </w:p>
    <w:p>
      <w:pPr>
        <w:spacing w:after="0" w:line="213"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Internationally, we face strong competition in the consumer do-it-yourself lawn and garden market, particularly in Europe. Our competitors in the European Union include Bayer AG, Kali &amp; Salz (Compo, Algoflash brands) and a variety of local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54"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Approximately 73% of our worldwide net sales in fiscal 2004 were made by our North America segment. Within the North America segment, approximately 36% of our net sales in fiscal 2004 were made to Home Depot, 18% to Wal*Mart and 13% to Lowe’s. We face strong competition for the business of these significant customers. The loss of any of these customers or a substantial decrease in the volume or profitability of our business with any of these customers could have a material adverse effect on our earnings and profits.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International Profit Improvement Plan</w:t>
      </w:r>
    </w:p>
    <w:p>
      <w:pPr>
        <w:spacing w:after="0" w:line="254"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In August 2002, we announced an initiative to reduce costs and improve the profitability of our European consumer and professional businesses. The original plan called for an investment of between $50 million and $60 million in these businesses by the end of 2005. We now expect to invest between $45 million and $50 million over this time frame by leveraging high-value, lower risk initiatives to drive significant improvement in the profitability of these businesses. Approximately 25% of the expected investment is for capital expenditures, primarily for the installation of an Enterprise Resource Planning (ERP) system in our largest European operations (France, Germany and the United Kingdom).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0"/>
        <w:spacing w:after="0" w:line="262" w:lineRule="auto"/>
        <w:rPr>
          <w:sz w:val="20"/>
          <w:szCs w:val="20"/>
          <w:color w:val="auto"/>
        </w:rPr>
      </w:pPr>
      <w:r>
        <w:rPr>
          <w:rFonts w:ascii="Times New Roman" w:cs="Times New Roman" w:eastAsia="Times New Roman" w:hAnsi="Times New Roman"/>
          <w:sz w:val="18"/>
          <w:szCs w:val="18"/>
          <w:color w:val="auto"/>
        </w:rPr>
        <w:t>also involves reorganization and rationalization of our European supply chain, increased sales force productivity and a shift to pan-European category management of our product portfolio that will constitute approximately 75% of the expected investment. As part of this initiative, restructuring and other charges will be incurred at various times.</w:t>
      </w:r>
    </w:p>
    <w:p>
      <w:pPr>
        <w:spacing w:after="0" w:line="213" w:lineRule="exact"/>
        <w:rPr>
          <w:sz w:val="20"/>
          <w:szCs w:val="20"/>
          <w:color w:val="auto"/>
        </w:rPr>
      </w:pPr>
    </w:p>
    <w:p>
      <w:pPr>
        <w:jc w:val="both"/>
        <w:ind w:right="420" w:firstLine="324"/>
        <w:spacing w:after="0" w:line="262" w:lineRule="auto"/>
        <w:rPr>
          <w:sz w:val="20"/>
          <w:szCs w:val="20"/>
          <w:color w:val="auto"/>
        </w:rPr>
      </w:pPr>
      <w:r>
        <w:rPr>
          <w:rFonts w:ascii="Times New Roman" w:cs="Times New Roman" w:eastAsia="Times New Roman" w:hAnsi="Times New Roman"/>
          <w:sz w:val="18"/>
          <w:szCs w:val="18"/>
          <w:color w:val="auto"/>
        </w:rPr>
        <w:t>Under the plan, profitability has improved, but the International business continues to perform below expectations. As such, we are exploring all of our options for the International business, with the goal of improving shareholder value. For further information concerning the restructuring charges incurred in fiscal years 2004, 2003 and 2002, see Note 4 to the Consolidated Financial Statements.</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Developing Strong Relationships with Key Retailers</w:t>
      </w:r>
    </w:p>
    <w:p>
      <w:pPr>
        <w:spacing w:after="0" w:line="254"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We believe that our leading brands and our industry-leading media advertising make our products “traffic builders” at retail locations. In addition, we believe our leading full line of branded consumer lawn and garden products gives us an advantage in selling to retailers who value the efficiency of dealing with a limited number of suppliers. We have made significant investments in the past few years to establish business development teams at Home Depot, Wal*Mart, Lowe’s and at other national accounts to work with their buyers and supply chain management to maximize mutual sales opportunities and improve the efficient distribution of products. In addition, we serve as the lawn and garden category advisor for Wal*Mart and Kmart. We are also the largest supplier of consumer lawn and garden products to the hardware co-op channel.</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Enhancing Market Leadership Through Consumer-Focused Brand Management</w:t>
      </w:r>
    </w:p>
    <w:p>
      <w:pPr>
        <w:spacing w:after="0" w:line="254"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We intend to continue to execute our successful marketing strategies used to strengthen our leading market positions. In fiscal 2004, we invested approximately $105 million on advertising which we believe is better targeted to our key consumer audience and focused on Scotts’ product superiority. We believe that our approach to marketing, which balances consumer-directed advertising (e.g. prime time television spots, direct mail and Internet marketing) with retailer-oriented promotions, builds brand awareness and drives product sales growth. We have grown sales, increased market share and expanded the lawn and garden category over the past five years through successful execution of this strategy for our four principal brands — Scotts®, Miracle-Gro®, Ortho® and Roundup®. We market and distribute Roundup® products exclusively to the consumer lawn and garden market in the United States and certain other countries on behalf of Monsanto. Our strategy is to grow the overall consumer lawn and garden category and to capture substantially all of this growth.</w:t>
      </w: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Pursuing Attractive Growth Initiatives</w:t>
      </w:r>
    </w:p>
    <w:p>
      <w:pPr>
        <w:spacing w:after="0" w:line="254"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We believe that the power of our brands provides us with significant opportunities to expand our business into adjacent lawn and garden categories. To pursue these opportunities, at the end of fiscal 2002, we created a New Business Development Group within North America. This group has focused on extending Scotts’ brands into adjacent consumer lawn and garden categories that are currently not characterized by branded, value-added products. The group is also responsible for developing underdeveloped sales channels, such as grocery and drug stores, and improving our business with independent retailers through a combination of tailored programs and unique products or packaging. In fiscal 2003, we acquired two pottery distribution companies and are finalizing plans to introduce a value-added line of pottery products with a highly efficient distribution model, first in the southeastern United States with a major retailer, and later on a national basis. In October 2004, we acquired Smith &amp; Hawken®, a leading brand in the fast growing outdoor living and gardening lifestyle category. The addition of the Smith &amp; Hawken® brand and its network of retail stores, catalog and Internet sales will be the foundation for our future expansion into “outdoor living” as we look to expand into adjacent lawn and garden categories.</w:t>
      </w: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Expanding Scotts LawnService®</w:t>
      </w:r>
    </w:p>
    <w:p>
      <w:pPr>
        <w:spacing w:after="0" w:line="254" w:lineRule="exact"/>
        <w:rPr>
          <w:sz w:val="20"/>
          <w:szCs w:val="20"/>
          <w:color w:val="auto"/>
        </w:rPr>
      </w:pPr>
    </w:p>
    <w:p>
      <w:pPr>
        <w:ind w:right="220" w:firstLine="270"/>
        <w:spacing w:after="0" w:line="262" w:lineRule="auto"/>
        <w:rPr>
          <w:sz w:val="20"/>
          <w:szCs w:val="20"/>
          <w:color w:val="auto"/>
        </w:rPr>
      </w:pPr>
      <w:r>
        <w:rPr>
          <w:rFonts w:ascii="Times New Roman" w:cs="Times New Roman" w:eastAsia="Times New Roman" w:hAnsi="Times New Roman"/>
          <w:sz w:val="18"/>
          <w:szCs w:val="18"/>
          <w:color w:val="auto"/>
        </w:rPr>
        <w:t>The number of lawn owners who want to maintain their lawns and gardens but do not want to do it themselves represents a significant portion of the total market. We recognize that our portfolio of well-known brands provides us with a unique ability to extend our brands into the lawn and garden service business. We believe that the strength of our brands provides us with a significant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in acquiring new customers and we have spent the past several years developing our Scotts LawnService® business model. The business has grown significantly from revenues of approximately $42 million in fiscal 2001 to approximately $135 million in fiscal 2004. The majority of this growth has been fueled by geographic expansion, acquisitions and organic growth fueled by our highly-effective direct marketing programs. We invested approximately $4 million of capital in lawn service acquisitions in fiscal 2004, down considerably from investment levels in prior years. In addition, we invested approximately $5.2 million to buy out the minority owners in the Scotts LawnService® business. We anticipate continuing to make selective acquisitions in fiscal 2005 and beyond. Significant investments will continue to be made in our Scotts LawnService® business infrastructure with the focus being to continually improve our customer service throughout the organization.</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Supply Chain Excellence</w:t>
      </w:r>
    </w:p>
    <w:p>
      <w:pPr>
        <w:spacing w:after="0" w:line="254" w:lineRule="exact"/>
        <w:rPr>
          <w:sz w:val="20"/>
          <w:szCs w:val="20"/>
          <w:color w:val="auto"/>
        </w:rPr>
      </w:pPr>
    </w:p>
    <w:p>
      <w:pPr>
        <w:ind w:right="80" w:firstLine="270"/>
        <w:spacing w:after="0" w:line="253" w:lineRule="auto"/>
        <w:rPr>
          <w:sz w:val="20"/>
          <w:szCs w:val="20"/>
          <w:color w:val="auto"/>
        </w:rPr>
      </w:pPr>
      <w:r>
        <w:rPr>
          <w:rFonts w:ascii="Times New Roman" w:cs="Times New Roman" w:eastAsia="Times New Roman" w:hAnsi="Times New Roman"/>
          <w:sz w:val="18"/>
          <w:szCs w:val="18"/>
          <w:color w:val="auto"/>
        </w:rPr>
        <w:t>Over the past several years, we have focused on building world-class manufacturing and distribution capabilities. We have successfully developed this expertise through both significant investments and incorporation of supply chain related metrics into our key business and incentive measures. We have invested, and continue to invest, in systems to allow us to better capture and analyze supply chain information. For instance, in fiscal 2001, we completed implementation of the ERP software system for our North American businesses at a cost of approximately $55 million. More recently we, as part of our Profit Improvement Plan for International, have installed the ERP software system at our major foreign locations. This level of investment and focus has allowed us to develop what we believe is a significant competitive advantage in serving our retail customers. We have significantly improved customer service rates which, coupled with more closely tying shipments to when the consumer purchases Scotts’ products from the retail shelf, has allowed our customers to improve inventory turns and reduce average inventory levels. The investments we have made in our production facilities have improved manufacturing flexibility, allowing us to improve our inventory turns and reduce our average inventory levels as well.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254" w:lineRule="exact"/>
        <w:rPr>
          <w:sz w:val="20"/>
          <w:szCs w:val="20"/>
          <w:color w:val="auto"/>
        </w:rPr>
      </w:pPr>
    </w:p>
    <w:p>
      <w:pPr>
        <w:ind w:right="220" w:firstLine="270"/>
        <w:spacing w:after="0" w:line="275" w:lineRule="auto"/>
        <w:rPr>
          <w:sz w:val="20"/>
          <w:szCs w:val="20"/>
          <w:color w:val="auto"/>
        </w:rPr>
      </w:pPr>
      <w:r>
        <w:rPr>
          <w:rFonts w:ascii="Times New Roman" w:cs="Times New Roman" w:eastAsia="Times New Roman" w:hAnsi="Times New Roman"/>
          <w:sz w:val="18"/>
          <w:szCs w:val="18"/>
          <w:color w:val="auto"/>
        </w:rPr>
        <w:t>Our business is highly seasonal with approximately 73% of our net sales occurring in our combined second and third quarters of both fiscal 2004 and fiscal 2003.</w:t>
      </w:r>
    </w:p>
    <w:p>
      <w:pPr>
        <w:spacing w:after="0" w:line="20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color w:val="auto"/>
        </w:rPr>
        <w:t>Consistent with prior years, we anticipate that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54"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and other chemicals as well as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minimizing our risk exposures on these materials but, when appropriate, we will procure a certain percentage of our needs in advance of the season to secure pre-determined prices.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254" w:lineRule="exact"/>
        <w:rPr>
          <w:sz w:val="20"/>
          <w:szCs w:val="20"/>
          <w:color w:val="auto"/>
        </w:rPr>
      </w:pPr>
    </w:p>
    <w:p>
      <w:pPr>
        <w:ind w:right="200" w:firstLine="270"/>
        <w:spacing w:after="0" w:line="258" w:lineRule="auto"/>
        <w:rPr>
          <w:sz w:val="20"/>
          <w:szCs w:val="20"/>
          <w:color w:val="auto"/>
        </w:rPr>
      </w:pPr>
      <w:r>
        <w:rPr>
          <w:rFonts w:ascii="Times New Roman" w:cs="Times New Roman" w:eastAsia="Times New Roman" w:hAnsi="Times New Roman"/>
          <w:sz w:val="18"/>
          <w:szCs w:val="18"/>
          <w:color w:val="auto"/>
        </w:rPr>
        <w:t>We manufacture products for our North American consumer business at our facilities in Marysville, Ohio; Ft. Madison, Iowa and Temecula, California, as well as use a number of third party contract packers in the United States and Canada. In addition, the Company manufactures growing media products in 23 regional facilities located throughout the United States. The primary distribution centers for our North American consumer business are managed by Scotts and strategically placed across the United States.</w:t>
      </w:r>
    </w:p>
    <w:p>
      <w:pPr>
        <w:spacing w:after="0" w:line="217"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We also manufacture horticultural products for our North America and International professional businesses at a leased fertilizer manufacturing facility in Charleston, South Carolina and a Company-owned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line="262" w:lineRule="auto"/>
        <w:rPr>
          <w:sz w:val="20"/>
          <w:szCs w:val="20"/>
          <w:color w:val="auto"/>
        </w:rPr>
      </w:pPr>
      <w:r>
        <w:rPr>
          <w:rFonts w:ascii="Times New Roman" w:cs="Times New Roman" w:eastAsia="Times New Roman" w:hAnsi="Times New Roman"/>
          <w:sz w:val="18"/>
          <w:szCs w:val="18"/>
          <w:color w:val="auto"/>
        </w:rPr>
        <w:t>site in Heerlen, the Netherlands. Certain products are also produced for our professional businesses at other Company-owned facilities and subcontractors in the United States and Europe. The majority of shipments to customers are made via common carriers through distributors in the United States and a network of public warehouses and distributors in Europe.</w:t>
      </w:r>
    </w:p>
    <w:p>
      <w:pPr>
        <w:spacing w:after="0" w:line="21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We manufacture the non-growing media products for our International business at our facilities in Howden, the United Kingdom and Bourth, France, as well as use a number of third party contract packers. The primary distribution centers for our International businesses are located in the United Kingdom, France and Germany and are managed by a logistics provider.</w:t>
      </w:r>
    </w:p>
    <w:p>
      <w:pPr>
        <w:spacing w:after="0" w:line="213" w:lineRule="exact"/>
        <w:rPr>
          <w:sz w:val="20"/>
          <w:szCs w:val="20"/>
          <w:color w:val="auto"/>
        </w:rPr>
      </w:pPr>
    </w:p>
    <w:p>
      <w:pPr>
        <w:ind w:right="380" w:firstLine="324"/>
        <w:spacing w:after="0" w:line="262" w:lineRule="auto"/>
        <w:rPr>
          <w:sz w:val="20"/>
          <w:szCs w:val="20"/>
          <w:color w:val="auto"/>
        </w:rPr>
      </w:pPr>
      <w:r>
        <w:rPr>
          <w:rFonts w:ascii="Times New Roman" w:cs="Times New Roman" w:eastAsia="Times New Roman" w:hAnsi="Times New Roman"/>
          <w:sz w:val="18"/>
          <w:szCs w:val="18"/>
          <w:color w:val="auto"/>
        </w:rPr>
        <w:t>The growing media products for our International segment are produced at our facilities in Hatfield, the United Kingdom and Hautmont, France and at a number of third party contract packers. Growing media products are generally shipped direct without passing through either a distribution center or mixing warehouse.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4" w:lineRule="exact"/>
        <w:rPr>
          <w:sz w:val="20"/>
          <w:szCs w:val="20"/>
          <w:color w:val="auto"/>
        </w:rPr>
      </w:pPr>
    </w:p>
    <w:p>
      <w:pPr>
        <w:ind w:right="460" w:firstLine="270"/>
        <w:spacing w:after="0" w:line="275" w:lineRule="auto"/>
        <w:rPr>
          <w:sz w:val="20"/>
          <w:szCs w:val="20"/>
          <w:color w:val="auto"/>
        </w:rPr>
      </w:pPr>
      <w:r>
        <w:rPr>
          <w:rFonts w:ascii="Times New Roman" w:cs="Times New Roman" w:eastAsia="Times New Roman" w:hAnsi="Times New Roman"/>
          <w:sz w:val="18"/>
          <w:szCs w:val="18"/>
          <w:color w:val="auto"/>
        </w:rPr>
        <w:t>As of September 30, 2004, we employed 3,966 full-time employees in the United States and an additional 1,019 full-time employees located outside the United States. During peak sales and production periods, we utilize seasonal and temporary labor.</w:t>
      </w:r>
    </w:p>
    <w:p>
      <w:pPr>
        <w:spacing w:after="0" w:line="201" w:lineRule="exact"/>
        <w:rPr>
          <w:sz w:val="20"/>
          <w:szCs w:val="20"/>
          <w:color w:val="auto"/>
        </w:rPr>
      </w:pPr>
    </w:p>
    <w:p>
      <w:pPr>
        <w:ind w:right="20" w:firstLine="324"/>
        <w:spacing w:after="0" w:line="291" w:lineRule="auto"/>
        <w:rPr>
          <w:sz w:val="20"/>
          <w:szCs w:val="20"/>
          <w:color w:val="auto"/>
        </w:rPr>
      </w:pPr>
      <w:r>
        <w:rPr>
          <w:rFonts w:ascii="Times New Roman" w:cs="Times New Roman" w:eastAsia="Times New Roman" w:hAnsi="Times New Roman"/>
          <w:sz w:val="16"/>
          <w:szCs w:val="16"/>
          <w:color w:val="auto"/>
        </w:rPr>
        <w:t>None of our U.S. employees are members of a union. Approximately 110 of our full-time U.K.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in the Netherlands, a small number of the approximately 130 employees are members of a workers union, but we are not responsible for collective bargaining negotiations with this union. In the Netherlands, we are governed by the Works Councils Act with respect to the union. Works councils represent employees on labor, employment matters and manage social benefits.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have good relationships with our employees, both unionized and non-unionized, in the United States and internationally.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Considerations</w:t>
      </w:r>
    </w:p>
    <w:p>
      <w:pPr>
        <w:spacing w:after="0" w:line="254" w:lineRule="exact"/>
        <w:rPr>
          <w:sz w:val="20"/>
          <w:szCs w:val="20"/>
          <w:color w:val="auto"/>
        </w:rPr>
      </w:pPr>
    </w:p>
    <w:p>
      <w:pPr>
        <w:ind w:right="100" w:firstLine="270"/>
        <w:spacing w:after="0" w:line="254" w:lineRule="auto"/>
        <w:rPr>
          <w:sz w:val="20"/>
          <w:szCs w:val="20"/>
          <w:color w:val="auto"/>
        </w:rPr>
      </w:pPr>
      <w:r>
        <w:rPr>
          <w:rFonts w:ascii="Times New Roman" w:cs="Times New Roman" w:eastAsia="Times New Roman" w:hAnsi="Times New Roman"/>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2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We cannot predict the outcome or the severity of the effect of these continuing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that we are operating in substantial compliance with, or taking action aimed at ensuring compliance with, these laws and regulations.</w:t>
      </w:r>
    </w:p>
    <w:p>
      <w:pPr>
        <w:spacing w:after="0" w:line="2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2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Regulations and environmental concerns also exist surrounding peat extraction in the United Kingdom and the European Union. In August 2000, English Nature, the nature conservation advisory body to the United Kingdom government, notified us that three of our peat harvesting sites in the United Kingdom were under consideration as possible “Special Areas of Conservation” under European Union law. In April 2002, working in conjunction with Friends of the Earth (United Kingdom), we reached agreement with English Nature to transfer our interests in the properties and for the immediate cessation of all but a limited amount of peat extraction on one of the three sites. As a result of this agreement, we have withdrawn our objection to the proposed European designations as Special Areas of Conservation and will undertake restoration work on the sites, for which we will receive additional consideration from English Nature. We believe that we have sufficient raw material supplies available to replace the peat extracted from such sites.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Actions</w:t>
      </w:r>
    </w:p>
    <w:p>
      <w:pPr>
        <w:spacing w:after="0" w:line="254"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In June 1997, the Ohio Environmental Protection Agency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relates to several discontinued on-site disposal areas which date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w:t>
      </w:r>
    </w:p>
    <w:p>
      <w:pPr>
        <w:spacing w:after="0" w:line="22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 As a result, we accrued an additional $3.0 million in the third quarter of fiscal 2002 to increase our reserve based on the latest estimates.</w:t>
      </w:r>
    </w:p>
    <w:p>
      <w:pPr>
        <w:spacing w:after="0" w:line="2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the United Kingdom facility. We have reserved for our estimates of probable costs to be incurred in connection with each of these matters.</w:t>
      </w:r>
    </w:p>
    <w:p>
      <w:pPr>
        <w:spacing w:after="0" w:line="220" w:lineRule="exact"/>
        <w:rPr>
          <w:sz w:val="20"/>
          <w:szCs w:val="20"/>
          <w:color w:val="auto"/>
        </w:rPr>
      </w:pPr>
    </w:p>
    <w:p>
      <w:pPr>
        <w:ind w:right="380" w:firstLine="324"/>
        <w:spacing w:after="0" w:line="262" w:lineRule="auto"/>
        <w:rPr>
          <w:sz w:val="20"/>
          <w:szCs w:val="20"/>
          <w:color w:val="auto"/>
        </w:rPr>
      </w:pPr>
      <w:r>
        <w:rPr>
          <w:rFonts w:ascii="Times New Roman" w:cs="Times New Roman" w:eastAsia="Times New Roman" w:hAnsi="Times New Roman"/>
          <w:sz w:val="18"/>
          <w:szCs w:val="18"/>
          <w:color w:val="auto"/>
        </w:rPr>
        <w:t>At September 30, 2004, $6.0 million was accrued for the environmental and regulatory matters described herein, the majority of which is for site remediation. Most of the costs accrued as of September 30, 2004 are expected to be paid through fiscal 2007; however, payments could be made for a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3" w:name="page14"/>
    <w:bookmarkEnd w:id="13"/>
    <w:p>
      <w:pPr>
        <w:ind w:right="660" w:firstLine="324"/>
        <w:spacing w:after="0" w:line="275" w:lineRule="auto"/>
        <w:rPr>
          <w:sz w:val="20"/>
          <w:szCs w:val="20"/>
          <w:color w:val="auto"/>
        </w:rPr>
      </w:pPr>
      <w:r>
        <w:rPr>
          <w:rFonts w:ascii="Times New Roman" w:cs="Times New Roman" w:eastAsia="Times New Roman" w:hAnsi="Times New Roman"/>
          <w:sz w:val="18"/>
          <w:szCs w:val="18"/>
          <w:color w:val="auto"/>
        </w:rPr>
        <w:t>We believe that the amounts accrued as of September 30, 2004 are adequate to cover our known environmental exposures based on current facts and estimates of likely outcome. However, the adequacy of these accruals is based on several significant assumptions, including the following:</w:t>
      </w:r>
    </w:p>
    <w:p>
      <w:pPr>
        <w:spacing w:after="0" w:line="174" w:lineRule="exact"/>
        <w:rPr>
          <w:sz w:val="20"/>
          <w:szCs w:val="20"/>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all of the significant sites that must be remediated;</w:t>
      </w:r>
    </w:p>
    <w:p>
      <w:pPr>
        <w:spacing w:after="0" w:line="36"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significant conditions of potential contamination that are unknown to us; and</w:t>
      </w:r>
    </w:p>
    <w:p>
      <w:pPr>
        <w:spacing w:after="0" w:line="36" w:lineRule="exact"/>
        <w:rPr>
          <w:rFonts w:ascii="Times New Roman" w:cs="Times New Roman" w:eastAsia="Times New Roman" w:hAnsi="Times New Roman"/>
          <w:sz w:val="18"/>
          <w:szCs w:val="18"/>
          <w:color w:val="auto"/>
        </w:rPr>
      </w:pPr>
    </w:p>
    <w:p>
      <w:pPr>
        <w:ind w:left="460" w:right="620" w:hanging="101"/>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201"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201" w:lineRule="exact"/>
        <w:rPr>
          <w:sz w:val="20"/>
          <w:szCs w:val="20"/>
          <w:color w:val="auto"/>
        </w:rPr>
      </w:pPr>
    </w:p>
    <w:p>
      <w:pPr>
        <w:ind w:right="540" w:firstLine="324"/>
        <w:spacing w:after="0" w:line="275" w:lineRule="auto"/>
        <w:rPr>
          <w:sz w:val="20"/>
          <w:szCs w:val="20"/>
          <w:color w:val="auto"/>
        </w:rPr>
      </w:pPr>
      <w:r>
        <w:rPr>
          <w:rFonts w:ascii="Times New Roman" w:cs="Times New Roman" w:eastAsia="Times New Roman" w:hAnsi="Times New Roman"/>
          <w:sz w:val="18"/>
          <w:szCs w:val="18"/>
          <w:color w:val="auto"/>
        </w:rPr>
        <w:t>During fiscal 2004, 2003, and 2002 we expensed approximately $3.3 million, $1.5 million, and $5.4 million for environmental matters. There were no material capital expenditures in fiscal 2004, 2003 or 2002 related to environmental or regulatory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254" w:lineRule="exact"/>
        <w:rPr>
          <w:sz w:val="20"/>
          <w:szCs w:val="20"/>
          <w:color w:val="auto"/>
        </w:rPr>
      </w:pPr>
    </w:p>
    <w:p>
      <w:pPr>
        <w:ind w:right="120" w:firstLine="270"/>
        <w:spacing w:after="0" w:line="275" w:lineRule="auto"/>
        <w:rPr>
          <w:sz w:val="20"/>
          <w:szCs w:val="20"/>
          <w:color w:val="auto"/>
        </w:rPr>
      </w:pPr>
      <w:r>
        <w:rPr>
          <w:rFonts w:ascii="Times New Roman" w:cs="Times New Roman" w:eastAsia="Times New Roman" w:hAnsi="Times New Roman"/>
          <w:sz w:val="18"/>
          <w:szCs w:val="18"/>
          <w:color w:val="auto"/>
        </w:rPr>
        <w:t>For certain information concerning our international revenues and long-lived assets, see “ITEM 7. MANAGEMENT’S DISCUSSION AND ANALYSIS OF FINANCIAL CONDITION AND RESULTS OF OPERATIONS” and Note 21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54" w:lineRule="exact"/>
        <w:rPr>
          <w:sz w:val="20"/>
          <w:szCs w:val="20"/>
          <w:color w:val="auto"/>
        </w:rPr>
      </w:pPr>
    </w:p>
    <w:p>
      <w:pPr>
        <w:ind w:right="120" w:firstLine="270"/>
        <w:spacing w:after="0" w:line="262" w:lineRule="auto"/>
        <w:rPr>
          <w:sz w:val="20"/>
          <w:szCs w:val="20"/>
          <w:color w:val="auto"/>
        </w:rPr>
      </w:pPr>
      <w:r>
        <w:rPr>
          <w:rFonts w:ascii="Times New Roman" w:cs="Times New Roman" w:eastAsia="Times New Roman" w:hAnsi="Times New Roman"/>
          <w:sz w:val="18"/>
          <w:szCs w:val="18"/>
          <w:color w:val="auto"/>
        </w:rPr>
        <w:t>We lease land from the Union County Community Improvement Corporation in Marysville, Ohio for our headquarters and for our research and development facilities. We own property in Marysville, Ohio for our manufacturing and distribution facilities. Combined, these facilities are situated on approximately 875 acres of land.</w:t>
      </w:r>
    </w:p>
    <w:p>
      <w:pPr>
        <w:spacing w:after="0" w:line="213" w:lineRule="exact"/>
        <w:rPr>
          <w:sz w:val="20"/>
          <w:szCs w:val="20"/>
          <w:color w:val="auto"/>
        </w:rPr>
      </w:pPr>
    </w:p>
    <w:p>
      <w:pPr>
        <w:jc w:val="both"/>
        <w:ind w:right="160" w:firstLine="324"/>
        <w:spacing w:after="0" w:line="287" w:lineRule="auto"/>
        <w:rPr>
          <w:sz w:val="20"/>
          <w:szCs w:val="20"/>
          <w:color w:val="auto"/>
        </w:rPr>
      </w:pPr>
      <w:r>
        <w:rPr>
          <w:rFonts w:ascii="Times New Roman" w:cs="Times New Roman" w:eastAsia="Times New Roman" w:hAnsi="Times New Roman"/>
          <w:sz w:val="16"/>
          <w:szCs w:val="16"/>
          <w:color w:val="auto"/>
        </w:rPr>
        <w:t>The North America segment owns three additional research facilities located in Apopka, Florida, Gervais, Oregon, and Valley Center, California. We own a production facility, which encompasses 27 acres, in Fort Madison, Iowa and lease a spreader and other durable components manufacturing facility in Temecula, California. We also lease a controlled-release fertilizer manufacturing facility in Charleston, South Carolina. We operate 23 growing media facilities in</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17 states — 17 of which are owned by us and six of which are leased. Most of our growing media facilities include production lines, warehouses, offices and field processing areas. We lease one compost facility, located at a bagging facility in Lebanon, Connecticut. We also lease sales offices in Atlanta, Georgia; Troy, Michigan; Mooresville, North Carolina; Rolling Meadows, Illinois; and Bentonville, Arkansas. We also lease a facility in Mississauga, Ontario that serves as the headquarters for our Canadian subsidiary.</w:t>
      </w:r>
    </w:p>
    <w:p>
      <w:pPr>
        <w:spacing w:after="0" w:line="219"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Scotts LawnService® conducts its Company-owned operations from approximately 68 leased facilities, primarily office/warehouse units in industrial/office parks, across the United States serving 49 metropolitan markets.</w:t>
      </w:r>
    </w:p>
    <w:p>
      <w:pPr>
        <w:spacing w:after="0" w:line="201" w:lineRule="exact"/>
        <w:rPr>
          <w:sz w:val="20"/>
          <w:szCs w:val="20"/>
          <w:color w:val="auto"/>
        </w:rPr>
      </w:pPr>
    </w:p>
    <w:p>
      <w:pPr>
        <w:ind w:right="400" w:firstLine="324"/>
        <w:spacing w:after="0" w:line="275" w:lineRule="auto"/>
        <w:rPr>
          <w:sz w:val="20"/>
          <w:szCs w:val="20"/>
          <w:color w:val="auto"/>
        </w:rPr>
      </w:pPr>
      <w:r>
        <w:rPr>
          <w:rFonts w:ascii="Times New Roman" w:cs="Times New Roman" w:eastAsia="Times New Roman" w:hAnsi="Times New Roman"/>
          <w:sz w:val="18"/>
          <w:szCs w:val="18"/>
          <w:color w:val="auto"/>
        </w:rPr>
        <w:t>Smith &amp; Hawken® operates 58 retail stores, all leased facilities primarily in shopping centers across the United States. It leases its main headquarters in Novato, California.</w:t>
      </w:r>
    </w:p>
    <w:p>
      <w:pPr>
        <w:spacing w:after="0" w:line="20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International segment leases its U.K. office, located in Godalming (Surrey); its French headquarters and local operations office, located in Ecully; a German office, located in Ingelheim; an Austrian office, located in Salzburg; an Australian office, located in Baulkan Hills (New South Wales); and a Canadian office located in Toronto. We own manufacturing facilities in Howden and Hatfield (East Yorkshire) in the United Kingdom. We also own a blending and bagging facility for growing media in Hautmont, France; and a plant in Bourth, France, that we use for formulating, blending and packaging control products for the consumer market. We lease a research and development facility in Chazay, France. Our site in Heerlen, the Netherlands is both a distribution center and a manufacturing site for coated fertilizers for the consumer and professional markets. We own the land and the building for the manufacturing facility, but lease the distribution center building. We own research and development facilities in Levington and Bramford in the United Kingdom. We lease a sales office in Sint Niklaas, 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We lease warehouse space throughout the United States and continental Europe as needed.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facilities are adequate to serve their intended purposes at this time and that our property leasing arrangements are satisfactory.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54"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As noted in the discussion in “ITEM 1. BUSINESS — Environmental and Regulatory Considerations” and “ITEM 1. BUSINESS — Regulatory Actions,”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Pending material legal proceedings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AgrEvo Environmental Health, Inc.</w:t>
      </w:r>
    </w:p>
    <w:p>
      <w:pPr>
        <w:spacing w:after="0" w:line="254" w:lineRule="exact"/>
        <w:rPr>
          <w:sz w:val="20"/>
          <w:szCs w:val="20"/>
          <w:color w:val="auto"/>
        </w:rPr>
      </w:pPr>
    </w:p>
    <w:p>
      <w:pPr>
        <w:ind w:firstLine="270"/>
        <w:spacing w:after="0" w:line="289" w:lineRule="auto"/>
        <w:rPr>
          <w:sz w:val="20"/>
          <w:szCs w:val="20"/>
          <w:color w:val="auto"/>
        </w:rPr>
      </w:pPr>
      <w:r>
        <w:rPr>
          <w:rFonts w:ascii="Times New Roman" w:cs="Times New Roman" w:eastAsia="Times New Roman" w:hAnsi="Times New Roman"/>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 AgrEvo also contends that The Scotts Company’s execution of various agreements with Monsanto, including the Roundup® marketing agreement, as well as The Scotts Company’s subsequent actions, violated agreements between AgrEvo and The Scotts Company.</w:t>
      </w:r>
    </w:p>
    <w:p>
      <w:pPr>
        <w:spacing w:after="0" w:line="194" w:lineRule="exact"/>
        <w:rPr>
          <w:sz w:val="20"/>
          <w:szCs w:val="20"/>
          <w:color w:val="auto"/>
        </w:rPr>
      </w:pPr>
    </w:p>
    <w:p>
      <w:pPr>
        <w:ind w:right="340" w:firstLine="324"/>
        <w:spacing w:after="0" w:line="262" w:lineRule="auto"/>
        <w:rPr>
          <w:sz w:val="20"/>
          <w:szCs w:val="20"/>
          <w:color w:val="auto"/>
        </w:rPr>
      </w:pPr>
      <w:r>
        <w:rPr>
          <w:rFonts w:ascii="Times New Roman" w:cs="Times New Roman" w:eastAsia="Times New Roman" w:hAnsi="Times New Roman"/>
          <w:sz w:val="18"/>
          <w:szCs w:val="18"/>
          <w:color w:val="auto"/>
        </w:rPr>
        <w:t>AgrEvo is requesting damages as well as affirmative injunctive relief, and seeking to have the court invalidate the Roundup® marketing agreement as violative of the federal antitrust laws. Under the indemnification provisions of the Roundup® marketing agreement, Monsanto and The Scotts Company each have requested that the other indemnify against any losses arising from this lawsuit.</w:t>
      </w:r>
    </w:p>
    <w:p>
      <w:pPr>
        <w:spacing w:after="0" w:line="21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A trial date has been set for February 22, 2005.</w:t>
      </w:r>
    </w:p>
    <w:p>
      <w:pPr>
        <w:spacing w:after="0" w:line="21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Central Garden &amp; Pet Company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Scotts Company v. Central Garden, Southern District of Ohio</w:t>
      </w:r>
    </w:p>
    <w:p>
      <w:pPr>
        <w:spacing w:after="0" w:line="254" w:lineRule="exact"/>
        <w:rPr>
          <w:sz w:val="20"/>
          <w:szCs w:val="20"/>
          <w:color w:val="auto"/>
        </w:rPr>
      </w:pPr>
    </w:p>
    <w:p>
      <w:pPr>
        <w:ind w:right="460" w:firstLine="270"/>
        <w:spacing w:after="0" w:line="339" w:lineRule="auto"/>
        <w:rPr>
          <w:sz w:val="20"/>
          <w:szCs w:val="20"/>
          <w:color w:val="auto"/>
        </w:rPr>
      </w:pPr>
      <w:r>
        <w:rPr>
          <w:rFonts w:ascii="Times New Roman" w:cs="Times New Roman" w:eastAsia="Times New Roman" w:hAnsi="Times New Roman"/>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 w:name="page16"/>
    <w:bookmarkEnd w:id="15"/>
    <w:p>
      <w:pPr>
        <w:ind w:right="200"/>
        <w:spacing w:after="0" w:line="256" w:lineRule="auto"/>
        <w:rPr>
          <w:sz w:val="20"/>
          <w:szCs w:val="20"/>
          <w:color w:val="auto"/>
        </w:rPr>
      </w:pPr>
      <w:r>
        <w:rPr>
          <w:rFonts w:ascii="Times New Roman" w:cs="Times New Roman" w:eastAsia="Times New Roman" w:hAnsi="Times New Roman"/>
          <w:sz w:val="18"/>
          <w:szCs w:val="18"/>
          <w:color w:val="auto"/>
        </w:rPr>
        <w:t>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has appealed and The Scotts Company has cross-appealed from that final judgment.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Central Garden v. The Scotts Company &amp; Pharmacia, Northern District of California</w:t>
      </w:r>
    </w:p>
    <w:p>
      <w:pPr>
        <w:spacing w:after="0" w:line="254"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On July 7, 2000, Central Garden filed suit against The Scotts Company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The Scotts Company and Central Garden each filed summary judgment motions in this action. On June 26, 2002, the court granted summary judgment in favor of The Scotts Company and dismissed all of Central Garden’s then remaining claims. That judgment has been affirmed by the United States Court of Appeals.</w:t>
      </w:r>
    </w:p>
    <w:p>
      <w:pPr>
        <w:spacing w:after="0" w:line="220" w:lineRule="exact"/>
        <w:rPr>
          <w:sz w:val="20"/>
          <w:szCs w:val="20"/>
          <w:color w:val="auto"/>
        </w:rPr>
      </w:pPr>
    </w:p>
    <w:p>
      <w:pPr>
        <w:ind w:right="140" w:firstLine="324"/>
        <w:spacing w:after="0" w:line="293" w:lineRule="auto"/>
        <w:rPr>
          <w:sz w:val="20"/>
          <w:szCs w:val="20"/>
          <w:color w:val="auto"/>
        </w:rPr>
      </w:pPr>
      <w:r>
        <w:rPr>
          <w:rFonts w:ascii="Times New Roman" w:cs="Times New Roman" w:eastAsia="Times New Roman" w:hAnsi="Times New Roman"/>
          <w:sz w:val="16"/>
          <w:szCs w:val="16"/>
          <w:color w:val="auto"/>
        </w:rPr>
        <w:t>Although The Scotts Company has prevailed consistently and extensively in the litigation with Central Garden, some of the decisions in The Scotts Company’s favor are subject to appeal and possible further proceedings. If, upon appeal or otherwise, the above actions are determined adversely to The Scotts Company, the result could have a material adverse affect on The Scotts Company’s results of operations, financial position and cash flows. The Scotts Company believes that it will continue to prevail in the Central Garden matters and that any potential exposure that The Scotts Company may face cannot be reasonably estimated. Therefore, no accrual has been established related to the claims brought against The Scotts Company by Central Garden, except for amounts ordered paid to Central Garden in the Ohio Action. The Scotts Company believes it has adequate reserves recorded for the amounts it may ultimately be required to pay.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Horticultural Supply, Inc. (F/ K/ A E.C. Geiger, Inc.)</w:t>
      </w:r>
    </w:p>
    <w:p>
      <w:pPr>
        <w:spacing w:after="0" w:line="254" w:lineRule="exact"/>
        <w:rPr>
          <w:sz w:val="20"/>
          <w:szCs w:val="20"/>
          <w:color w:val="auto"/>
        </w:rPr>
      </w:pPr>
    </w:p>
    <w:p>
      <w:pPr>
        <w:ind w:right="260" w:firstLine="270"/>
        <w:spacing w:after="0" w:line="258" w:lineRule="auto"/>
        <w:rPr>
          <w:sz w:val="20"/>
          <w:szCs w:val="20"/>
          <w:color w:val="auto"/>
        </w:rPr>
      </w:pPr>
      <w:r>
        <w:rPr>
          <w:rFonts w:ascii="Times New Roman" w:cs="Times New Roman" w:eastAsia="Times New Roman" w:hAnsi="Times New Roman"/>
          <w:sz w:val="18"/>
          <w:szCs w:val="18"/>
          <w:color w:val="auto"/>
        </w:rPr>
        <w:t>On February 7, 2003, U.S. Horticultural Supply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 parties have commenced discovery on the antitrust and breach of contract claims. No trial date has been set.</w:t>
      </w:r>
    </w:p>
    <w:p>
      <w:pPr>
        <w:spacing w:after="0" w:line="217"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On February 2, 2004, Geiger filed for bankruptcy protection pursuant to Chapter 11 of the United States Bankruptcy Code. Geiger has filed an adversary proceeding as part of the bankruptcy alleging that The Scotts Company interfered with an agreement between Geiger and the purchaser of its operating assets and seeks damages in an unspecified amount.</w:t>
      </w:r>
    </w:p>
    <w:p>
      <w:pPr>
        <w:spacing w:after="0" w:line="213" w:lineRule="exact"/>
        <w:rPr>
          <w:sz w:val="20"/>
          <w:szCs w:val="20"/>
          <w:color w:val="auto"/>
        </w:rPr>
      </w:pPr>
    </w:p>
    <w:p>
      <w:pPr>
        <w:jc w:val="both"/>
        <w:ind w:right="560" w:firstLine="324"/>
        <w:spacing w:after="0" w:line="262" w:lineRule="auto"/>
        <w:rPr>
          <w:sz w:val="20"/>
          <w:szCs w:val="20"/>
          <w:color w:val="auto"/>
        </w:rPr>
      </w:pPr>
      <w:r>
        <w:rPr>
          <w:rFonts w:ascii="Times New Roman" w:cs="Times New Roman" w:eastAsia="Times New Roman" w:hAnsi="Times New Roman"/>
          <w:sz w:val="18"/>
          <w:szCs w:val="18"/>
          <w:color w:val="auto"/>
        </w:rPr>
        <w:t>On November 5, 2004, Geiger filed another suit against The Scotts Company in the U.S. District Court for the Eastern District of Pennsylvania. This complaint alleges that Scotts conspired with another distributor, Griffin Greenhouse Supplies, Inc., to restrain trade in the horticultural products market, in violation of Sections 1 and 57 of the Sherman Antitrust Act.</w:t>
      </w:r>
    </w:p>
    <w:p>
      <w:pPr>
        <w:spacing w:after="0" w:line="21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Scotts Company believes that all of Geiger’s claims are without merit and intends to vigorously defend against them. If any of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Scotts Company v. Aventis S.A. and Starlink Logistics, Inc.</w:t>
      </w:r>
    </w:p>
    <w:p>
      <w:pPr>
        <w:spacing w:after="0" w:line="254"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On August 9, 2002, The Scotts Company filed suit against Aventis S.A. and its wholly-owned subsidiary Starlink Logistics, Inc. in the U.S. District Court for the Southern District of Ohio. In the complaint, The Scotts Company alleges it is entitled to injunctive and monetary relief arising from Aventis’ and Starlink’s interference with The Scotts Company’s contractual right to purchase a company called TechPac, L.L.C. from one of Aventis’ former subsidiaries, Aventis CropScience. The complaint alleges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right="120"/>
        <w:spacing w:after="0" w:line="301" w:lineRule="auto"/>
        <w:rPr>
          <w:sz w:val="20"/>
          <w:szCs w:val="20"/>
          <w:color w:val="auto"/>
        </w:rPr>
      </w:pPr>
      <w:r>
        <w:rPr>
          <w:rFonts w:ascii="Times New Roman" w:cs="Times New Roman" w:eastAsia="Times New Roman" w:hAnsi="Times New Roman"/>
          <w:sz w:val="16"/>
          <w:szCs w:val="16"/>
          <w:color w:val="auto"/>
        </w:rPr>
        <w:t>pursuant to a contract between The Scotts Company and a predecessor-in-interest to Aventis CropScience, Aventis CropScience was obligated to make a bona fide offer to sell its interest in TechPac to The Scotts Company. The complaint further alleges that Aventis directed Aventis CropScience to make a belated sham offer to The Scotts Company and that later, upon the sale of Aventis CropScience to Bayer AG, Aventis transferred ownership of TechPac to Starlink, an act which has made it impossible for Aventis CropScience’s successor-in-interest to make a bona fide offer to sell TechPac to The Scotts Company.</w:t>
      </w:r>
    </w:p>
    <w:p>
      <w:pPr>
        <w:spacing w:after="0" w:line="18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this suit, The Scotts Company seeks to ensure that it is able to exercise its right to receive a bona fide offer to acquire TechPac, and The Scotts Company seeks to recover compensatory and punitive damages in an amount as yet undetermined for Aventis’ and Starlink’s interference with The Scotts Company’s right to receive such an offer. On October 4, 2002, Starlink filed a motion to dismiss the complaint on jurisdictional grounds. On December 17, 2002, Aventis filed a similar motion. On April 23, 2004, the court dismissed the action without prejudice.</w:t>
      </w:r>
    </w:p>
    <w:p>
      <w:pPr>
        <w:spacing w:after="0" w:line="217"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The Scotts Company appealed the dismissal to the United States Court of Appeals for the Sixth Circuit, where the appeal remains pending. In addition, The Scotts Company and certain subsidiaries filed an action against Aventis, Starlink and others, in the Court of Common Pleas of Union County, Ohio. The defendants removed that action to the United States District Court for the Southern District of Ohio, where it is currently pending as Civil Action No. 04-CV-352.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4" w:lineRule="exact"/>
        <w:rPr>
          <w:sz w:val="20"/>
          <w:szCs w:val="20"/>
          <w:color w:val="auto"/>
        </w:rPr>
      </w:pPr>
    </w:p>
    <w:p>
      <w:pPr>
        <w:ind w:right="20" w:firstLine="270"/>
        <w:spacing w:after="0" w:line="291" w:lineRule="auto"/>
        <w:rPr>
          <w:sz w:val="20"/>
          <w:szCs w:val="20"/>
          <w:color w:val="auto"/>
        </w:rPr>
      </w:pPr>
      <w:r>
        <w:rPr>
          <w:rFonts w:ascii="Times New Roman" w:cs="Times New Roman" w:eastAsia="Times New Roman" w:hAnsi="Times New Roman"/>
          <w:sz w:val="16"/>
          <w:szCs w:val="16"/>
          <w:color w:val="auto"/>
        </w:rPr>
        <w:t>The Scotts Company has been named a defendant in a number of cases alleging injuries that the lawsuits claim resulted from exposure to asbestos-containing products, apparently based on The Scotts Company’s historic use of vermiculite in certain of its products. The complaints in these cases are not specific about the plaintiffs’ contacts with The Scotts Company or its products. The Scotts Company in each case is one of numerous defendants and none of the claims seeks damages from The Scotts Company alone. The Scotts Company believes that the claims against it are without merit and is vigorously defending them. It is not currently possible to reasonably estimate a probable loss, if any, associated with the cases and, accordingly, no accrual or reserves have been recorded in The Scotts Company’s consolidated financial statements. There can be no assurance that these cases, whether as a result of adverse outcomes or as a result of significant defense costs, will not have a material adverse effect on The Scotts Company, its financial condition or its results of operations.</w:t>
      </w:r>
    </w:p>
    <w:p>
      <w:pPr>
        <w:spacing w:after="0" w:line="194"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The Scotts Company is reviewing agreements and policies that may provide insurance coverage or indemnity as to these claims and is pursuing coverage under some of these agreements, although there can be no assurance of the results of these efforts.</w:t>
      </w:r>
    </w:p>
    <w:p>
      <w:pPr>
        <w:spacing w:after="0" w:line="201"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SUBMISSION OF MATTERS TO A VOTE OF SECURITY HOLDERS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matters submitted to a vote of the security holders of The Scotts Company during the fourth quarter of fiscal 2004.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ITEM. EXECUTIVE OFFICERS OF THE REGISTRANT</w:t>
      </w:r>
    </w:p>
    <w:p>
      <w:pPr>
        <w:spacing w:after="0" w:line="254" w:lineRule="exact"/>
        <w:rPr>
          <w:sz w:val="20"/>
          <w:szCs w:val="20"/>
          <w:color w:val="auto"/>
        </w:rPr>
      </w:pPr>
    </w:p>
    <w:p>
      <w:pPr>
        <w:ind w:right="720" w:firstLine="270"/>
        <w:spacing w:after="0" w:line="275" w:lineRule="auto"/>
        <w:rPr>
          <w:sz w:val="20"/>
          <w:szCs w:val="20"/>
          <w:color w:val="auto"/>
        </w:rPr>
      </w:pPr>
      <w:r>
        <w:rPr>
          <w:rFonts w:ascii="Times New Roman" w:cs="Times New Roman" w:eastAsia="Times New Roman" w:hAnsi="Times New Roman"/>
          <w:sz w:val="18"/>
          <w:szCs w:val="18"/>
          <w:color w:val="auto"/>
        </w:rPr>
        <w:t>The executive officers of The Scotts Company, their positions and, as of November 24, 2004, their ages and years with The Scotts Company (and its predecessors) (referred to in this Supplemental Item as “Scotts”) are set forth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Name</w:t>
            </w: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Age</w:t>
            </w:r>
          </w:p>
        </w:tc>
        <w:tc>
          <w:tcPr>
            <w:tcW w:w="600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Scotts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124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49</w:t>
            </w:r>
          </w:p>
        </w:tc>
        <w:tc>
          <w:tcPr>
            <w:tcW w:w="600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c>
          <w:tcPr>
            <w:tcW w:w="1780" w:type="dxa"/>
            <w:vAlign w:val="bottom"/>
            <w:shd w:val="clear" w:color="auto" w:fill="EEEEEE"/>
          </w:tcPr>
          <w:p>
            <w:pPr>
              <w:jc w:val="right"/>
              <w:ind w:right="97"/>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Michael P. Kelty, Ph.D.</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w:t>
            </w:r>
          </w:p>
        </w:tc>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Chairman and Executive Vice President</w:t>
            </w: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Robert F. Bernstock</w:t>
            </w:r>
          </w:p>
        </w:tc>
        <w:tc>
          <w:tcPr>
            <w:tcW w:w="124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54</w:t>
            </w:r>
          </w:p>
        </w:tc>
        <w:tc>
          <w:tcPr>
            <w:tcW w:w="600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President, North America</w:t>
            </w:r>
          </w:p>
        </w:tc>
        <w:tc>
          <w:tcPr>
            <w:tcW w:w="1780" w:type="dxa"/>
            <w:vAlign w:val="bottom"/>
            <w:shd w:val="clear" w:color="auto" w:fill="EEEEEE"/>
          </w:tcPr>
          <w:p>
            <w:pPr>
              <w:jc w:val="right"/>
              <w:ind w:right="97"/>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Nagel</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M. Aronowitz</w:t>
            </w:r>
          </w:p>
        </w:tc>
        <w:tc>
          <w:tcPr>
            <w:tcW w:w="124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48</w:t>
            </w:r>
          </w:p>
        </w:tc>
        <w:tc>
          <w:tcPr>
            <w:tcW w:w="600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c>
          <w:tcPr>
            <w:tcW w:w="1780" w:type="dxa"/>
            <w:vAlign w:val="bottom"/>
            <w:shd w:val="clear" w:color="auto" w:fill="EEEEEE"/>
          </w:tcPr>
          <w:p>
            <w:pPr>
              <w:jc w:val="right"/>
              <w:ind w:right="97"/>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Denise S. Stump</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Global Human Resources</w:t>
            </w:r>
          </w:p>
        </w:tc>
        <w:tc>
          <w:tcPr>
            <w:tcW w:w="17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officers serve at the discretion of the Board of Directors pursuant to employment agreements or other arrangements.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business experience of each of the individuals listed above during at least the past five years is as follows:</w:t>
      </w:r>
    </w:p>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Mr. Hagedorn was named Chairman of the Board in January 2003. He was named President and Chief Executive Officer of Scotts in May 2001. He served as President and Chief Operating Officer of Scotts from April 2000 to May 2001. From December 1998 to April 2000, he served as President, Scotts North America. Mr. Hagedorn also serves as a director of Scotts. Mr. Hagedorn is the son of Horace Hagedorn, Director Emeritus of Scotts, and is the brother of Katherine Hagedorn Littlefield, a director of Scotts.</w:t>
      </w:r>
    </w:p>
    <w:p>
      <w:pPr>
        <w:spacing w:after="0" w:line="217"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Dr. Kelty was named Vice Chairman and Executive Vice President of Scotts in May 2001. He served as Group Executive Vice President, Technology and Operations, of Scotts, from February 2000 to May 2001. He was previously Executive Vice President, Technology and Operations, of Scotts, from February 1999 to February 2000.</w:t>
      </w:r>
    </w:p>
    <w:p>
      <w:pPr>
        <w:spacing w:after="0" w:line="21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Mr. Bernstock was named Executive Vice President and President, North America of Scotts in June 2003. Mr. Bernstock served as Senior Vice President &amp; General Manager — Air Fresheners, Food Products &amp; Branded Commercial Markets of Dial Corporation (“Dial”), a manufacturer and marketer of soap products, laundry detergents, air fresheners and canned meats, from October 2002 to May 2003. From January 2002 to September 2002, he served as Special Advisor to the Chairman and Chief Executive Officer of Verticalnet, Inc., a provider of collaborative supply chain solutions software, and as a consultant to Dial. From January 2001 to January 2002, Mr. Bernstock served as Acting Chairman, President and Chief Executive Officer of Atlas Commerce, Inc. (“Atlas”), a provider of collaborative supply chain solutions software, prior to the acquisition of Atlas by Verticalnet, Inc., in January 2002. From March 1998 to January 2001, he served as President, Chief Executive Officer and a Director of Vlasic Foods International Inc. (“Vlasic”), a producer, marketer and distributor of branded convenience food products. On January 29, 2001, Vlasic and its United States operating subsidiaries filed voluntary petitions for reorganization relief pursuant to Chapter 11 of the United States Bankruptcy Code. Mr. Bernstock serves as a director of Verticalnet, Inc.</w:t>
      </w:r>
    </w:p>
    <w:p>
      <w:pPr>
        <w:spacing w:after="0" w:line="224"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color w:val="auto"/>
        </w:rPr>
        <w:t>Mr. Nagel was named Executive Vice President of Scotts in February 2003 and Chief Financial Officer of Scotts in January 2003. From August 2001 to January 2003, he served as Senior Vice President, North America and Corporate Finance of Scotts. From September 1998 to August 2001, Mr. Nagel served as Vice President and Corporate Controller of Scotts.</w:t>
      </w:r>
    </w:p>
    <w:p>
      <w:pPr>
        <w:spacing w:after="0" w:line="213"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Mr. Aronowitz was named Executive Vice President, General Counsel and Secretary of Scotts in October 2001. He was previously Senior Vice President, Assistant General Counsel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8" w:name="page19"/>
    <w:bookmarkEnd w:id="18"/>
    <w:p>
      <w:pPr>
        <w:ind w:right="200"/>
        <w:spacing w:after="0" w:line="275" w:lineRule="auto"/>
        <w:rPr>
          <w:sz w:val="20"/>
          <w:szCs w:val="20"/>
          <w:color w:val="auto"/>
        </w:rPr>
      </w:pPr>
      <w:r>
        <w:rPr>
          <w:rFonts w:ascii="Times New Roman" w:cs="Times New Roman" w:eastAsia="Times New Roman" w:hAnsi="Times New Roman"/>
          <w:sz w:val="18"/>
          <w:szCs w:val="18"/>
          <w:color w:val="auto"/>
        </w:rPr>
        <w:t>of Scotts, from February 2000 to October 2001. From October 1998 until February 2000, Mr. Aronowitz was Vice President and Assistant General Counsel of Scotts.</w:t>
      </w:r>
    </w:p>
    <w:p>
      <w:pPr>
        <w:spacing w:after="0" w:line="20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Ms. Stump was named Executive Vice President, Global Human Resources, of Scotts in February 2003. She was named Senior Vice President, Global Human Resources of Scotts in October 2002. From July 2001 until October 2002, Ms. Stump served as Vice President, Human Resources North America, of Scotts. From September 2000 until July 2001, Ms. Stump served as Vice President, Human Resources Technology and Operations, of Scotts. From April 1998 to September 2000, Ms. Stump served as Director, Human Resources, for the Ross Products Division of Abbott Laboratories, a manufacturer and marketer of pediatric and adult nutritional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9" w:name="page20"/>
    <w:bookmarkEnd w:id="19"/>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00" w:lineRule="exact"/>
        <w:rPr>
          <w:sz w:val="20"/>
          <w:szCs w:val="20"/>
          <w:color w:val="auto"/>
        </w:rPr>
      </w:pPr>
    </w:p>
    <w:p>
      <w:pPr>
        <w:spacing w:after="0" w:line="264" w:lineRule="exact"/>
        <w:rPr>
          <w:sz w:val="20"/>
          <w:szCs w:val="20"/>
          <w:color w:val="auto"/>
        </w:rPr>
      </w:pPr>
    </w:p>
    <w:p>
      <w:pPr>
        <w:ind w:left="820" w:right="580" w:hanging="809"/>
        <w:spacing w:after="0" w:line="277" w:lineRule="auto"/>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5.</w:t>
        <w:tab/>
        <w:t>MARKET FOR REGISTRANT’S COMMON EQUITY, RELATED STOCKHOLDER MATTERS AND ISSUER PURCHASES OF EQUITY SECURITIES</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common shares of The Scotts Company trade on the New York Stock Exchange under the symbol “SMG”.</w:t>
      </w:r>
    </w:p>
    <w:p>
      <w:pPr>
        <w:spacing w:after="0" w:line="200" w:lineRule="exact"/>
        <w:rPr>
          <w:sz w:val="20"/>
          <w:szCs w:val="20"/>
          <w:color w:val="auto"/>
        </w:rPr>
      </w:pP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w w:val="95"/>
              </w:rPr>
              <w:t>Sale Prices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FISCAL 2004</w:t>
            </w:r>
          </w:p>
        </w:tc>
        <w:tc>
          <w:tcPr>
            <w:tcW w:w="110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1st quarter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7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2nd quarter</w:t>
            </w: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76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3rd quarter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7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4th quarter</w:t>
            </w: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76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FISCAL 2003</w:t>
            </w: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1st quarter</w:t>
            </w: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76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7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3rd quarter</w:t>
            </w:r>
          </w:p>
        </w:tc>
        <w:tc>
          <w:tcPr>
            <w:tcW w:w="1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76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4th quarter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7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paid dividends on the common shares in the past. Given our rapidly improving financial condition and levels of cash generated by the business, we are currently evaluating alternatives for the use of cash generated in the future including the potential payment of dividends and share repurchases. The payment of future dividends and share repurchases, if any, on common shares will be determined by the Board of Directors of The Scotts Company in light of conditions then existing, including our earnings, financial condition and capital requirements, restrictions in financing agreements, business conditions and other factors.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 2004, there were approximately 12,700 shareholders including holders of record and our estimate of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Five Year Summary</w:t>
      </w:r>
    </w:p>
    <w:p>
      <w:pPr>
        <w:spacing w:after="0" w:line="2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Pr>
          <w:p>
            <w:pPr>
              <w:spacing w:after="0"/>
              <w:rPr>
                <w:sz w:val="15"/>
                <w:szCs w:val="15"/>
                <w:color w:val="auto"/>
              </w:rPr>
            </w:pPr>
          </w:p>
        </w:tc>
        <w:tc>
          <w:tcPr>
            <w:tcW w:w="10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Pr>
          <w:p>
            <w:pPr>
              <w:spacing w:after="0"/>
              <w:rPr>
                <w:sz w:val="15"/>
                <w:szCs w:val="15"/>
                <w:color w:val="auto"/>
              </w:rPr>
            </w:pPr>
          </w:p>
        </w:tc>
        <w:tc>
          <w:tcPr>
            <w:tcW w:w="11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520" w:type="dxa"/>
            <w:vAlign w:val="bottom"/>
          </w:tcPr>
          <w:p>
            <w:pPr>
              <w:spacing w:after="0"/>
              <w:rPr>
                <w:sz w:val="15"/>
                <w:szCs w:val="15"/>
                <w:color w:val="auto"/>
              </w:rPr>
            </w:pP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4"/>
              </w:rPr>
              <w:t>2001(1)</w:t>
            </w:r>
          </w:p>
        </w:tc>
        <w:tc>
          <w:tcPr>
            <w:tcW w:w="44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RESULTS:</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w w:val="96"/>
              </w:rPr>
              <w:t>2,037.9</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w w:val="96"/>
              </w:rPr>
              <w:t>1,887.7</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6"/>
              </w:rPr>
              <w:t>1,723.7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w w:val="92"/>
              </w:rPr>
              <w:t>1,644.8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92"/>
              </w:rPr>
              <w:t>1,630.3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Gross profit(2)</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769.7</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688.9</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633.2</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592.8</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from operations(2)</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252.8</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231.6</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238.4</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113.4</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Net income from continuing operations(3)</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100.5</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103.2</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100.5</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13.9</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applicable to common shareholders</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100.9</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103.8</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82.5</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57.7</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52.2</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43.5</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63.6</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FINANCIAL POSITION:</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396.7</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364.4</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278.3</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249.1</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328.0</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338.2</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329.2</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310.7</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w w:val="96"/>
              </w:rPr>
              <w:t>2,047.8</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w w:val="96"/>
              </w:rPr>
              <w:t>2,030.3</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w w:val="96"/>
              </w:rPr>
              <w:t>1,914.1</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w w:val="92"/>
              </w:rPr>
              <w:t>1,854.8</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w w:val="92"/>
              </w:rPr>
              <w:t>1,771.0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630.6</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757.6</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829.4</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887.8</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874.6</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728.2</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593.9</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506.2</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214.2</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216.1</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238.9</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51.8</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57.0</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63.4</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Cash invested in acquisitions, including</w:t>
            </w:r>
          </w:p>
        </w:tc>
        <w:tc>
          <w:tcPr>
            <w:tcW w:w="4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payments on seller notes</w:t>
            </w:r>
          </w:p>
        </w:tc>
        <w:tc>
          <w:tcPr>
            <w:tcW w:w="420" w:type="dxa"/>
            <w:vAlign w:val="bottom"/>
            <w:shd w:val="clear" w:color="auto" w:fill="EEEEEE"/>
          </w:tcPr>
          <w:p>
            <w:pPr>
              <w:spacing w:after="0"/>
              <w:rPr>
                <w:sz w:val="20"/>
                <w:szCs w:val="20"/>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shd w:val="clear" w:color="auto" w:fill="EEEEEE"/>
          </w:tcPr>
          <w:p>
            <w:pPr>
              <w:spacing w:after="0"/>
              <w:rPr>
                <w:sz w:val="20"/>
                <w:szCs w:val="20"/>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57.1</w:t>
            </w:r>
          </w:p>
        </w:tc>
        <w:tc>
          <w:tcPr>
            <w:tcW w:w="480" w:type="dxa"/>
            <w:vAlign w:val="bottom"/>
            <w:shd w:val="clear" w:color="auto" w:fill="EEEEEE"/>
          </w:tcPr>
          <w:p>
            <w:pPr>
              <w:spacing w:after="0"/>
              <w:rPr>
                <w:sz w:val="20"/>
                <w:szCs w:val="20"/>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63.0</w:t>
            </w:r>
          </w:p>
        </w:tc>
        <w:tc>
          <w:tcPr>
            <w:tcW w:w="5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37.6</w:t>
            </w:r>
          </w:p>
        </w:tc>
        <w:tc>
          <w:tcPr>
            <w:tcW w:w="44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RATIOS: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3"/>
              <w:spacing w:after="0"/>
              <w:rPr>
                <w:sz w:val="20"/>
                <w:szCs w:val="20"/>
                <w:color w:val="auto"/>
              </w:rPr>
            </w:pPr>
            <w:r>
              <w:rPr>
                <w:rFonts w:ascii="Times New Roman" w:cs="Times New Roman" w:eastAsia="Times New Roman" w:hAnsi="Times New Roman"/>
                <w:sz w:val="18"/>
                <w:szCs w:val="18"/>
                <w:color w:val="auto"/>
              </w:rPr>
              <w:t>13.8%</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3"/>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73"/>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ratio</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Total debt to total book capitalization</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41.9%</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3"/>
              <w:spacing w:after="0"/>
              <w:rPr>
                <w:sz w:val="20"/>
                <w:szCs w:val="20"/>
                <w:color w:val="auto"/>
              </w:rPr>
            </w:pPr>
            <w:r>
              <w:rPr>
                <w:rFonts w:ascii="Times New Roman" w:cs="Times New Roman" w:eastAsia="Times New Roman" w:hAnsi="Times New Roman"/>
                <w:sz w:val="18"/>
                <w:szCs w:val="18"/>
                <w:color w:val="auto"/>
              </w:rPr>
              <w:t>51.0%</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53"/>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3"/>
              <w:spacing w:after="0"/>
              <w:rPr>
                <w:sz w:val="20"/>
                <w:szCs w:val="20"/>
                <w:color w:val="auto"/>
              </w:rPr>
            </w:pPr>
            <w:r>
              <w:rPr>
                <w:rFonts w:ascii="Times New Roman" w:cs="Times New Roman" w:eastAsia="Times New Roman" w:hAnsi="Times New Roman"/>
                <w:sz w:val="18"/>
                <w:szCs w:val="18"/>
                <w:color w:val="auto"/>
              </w:rPr>
              <w:t>63.7%</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73"/>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Return on average shareholders’ equity (book</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value)</w:t>
            </w:r>
          </w:p>
        </w:tc>
        <w:tc>
          <w:tcPr>
            <w:tcW w:w="42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12.6%</w:t>
            </w:r>
          </w:p>
        </w:tc>
        <w:tc>
          <w:tcPr>
            <w:tcW w:w="48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tcPr>
          <w:p>
            <w:pPr>
              <w:spacing w:after="0"/>
              <w:rPr>
                <w:sz w:val="19"/>
                <w:szCs w:val="19"/>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15.0%</w:t>
            </w:r>
          </w:p>
        </w:tc>
        <w:tc>
          <w:tcPr>
            <w:tcW w:w="52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9"/>
                <w:szCs w:val="19"/>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common share(4)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3.36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2.81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0.55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share(4)</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3.23</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2.61</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0.51</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Stock price to diluted earnings per share, end of</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w:t>
            </w:r>
          </w:p>
        </w:tc>
        <w:tc>
          <w:tcPr>
            <w:tcW w:w="42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16.9</w:t>
            </w:r>
          </w:p>
        </w:tc>
        <w:tc>
          <w:tcPr>
            <w:tcW w:w="480" w:type="dxa"/>
            <w:vAlign w:val="bottom"/>
          </w:tcPr>
          <w:p>
            <w:pPr>
              <w:spacing w:after="0"/>
              <w:rPr>
                <w:sz w:val="19"/>
                <w:szCs w:val="19"/>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16.0</w:t>
            </w:r>
          </w:p>
        </w:tc>
        <w:tc>
          <w:tcPr>
            <w:tcW w:w="520" w:type="dxa"/>
            <w:vAlign w:val="bottom"/>
          </w:tcPr>
          <w:p>
            <w:pPr>
              <w:spacing w:after="0"/>
              <w:rPr>
                <w:sz w:val="19"/>
                <w:szCs w:val="19"/>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66.9</w:t>
            </w:r>
          </w:p>
        </w:tc>
        <w:tc>
          <w:tcPr>
            <w:tcW w:w="440" w:type="dxa"/>
            <w:vAlign w:val="bottom"/>
          </w:tcPr>
          <w:p>
            <w:pPr>
              <w:spacing w:after="0"/>
              <w:rPr>
                <w:sz w:val="19"/>
                <w:szCs w:val="19"/>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Stock price at year-end</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64.15</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54.70</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41.69</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34.10</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price range — High</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68.55</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57.70</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50.35</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47.10</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Stock price range — Low</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55.25</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43.54</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34.45</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28.88</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EBITDA(5)</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310.5</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283.8</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281.9</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 margin(5)</w:t>
            </w:r>
          </w:p>
        </w:tc>
        <w:tc>
          <w:tcPr>
            <w:tcW w:w="42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15.2%</w:t>
            </w:r>
          </w:p>
        </w:tc>
        <w:tc>
          <w:tcPr>
            <w:tcW w:w="48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15.0%</w:t>
            </w:r>
          </w:p>
        </w:tc>
        <w:tc>
          <w:tcPr>
            <w:tcW w:w="48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16.4%</w:t>
            </w:r>
          </w:p>
        </w:tc>
        <w:tc>
          <w:tcPr>
            <w:tcW w:w="52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18"/>
                <w:szCs w:val="18"/>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Interest coverage (EBITDA/interest expense)(5)</w:t>
            </w:r>
          </w:p>
        </w:tc>
        <w:tc>
          <w:tcPr>
            <w:tcW w:w="4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42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32.3</w:t>
            </w:r>
          </w:p>
        </w:tc>
        <w:tc>
          <w:tcPr>
            <w:tcW w:w="4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30.9</w:t>
            </w:r>
          </w:p>
        </w:tc>
        <w:tc>
          <w:tcPr>
            <w:tcW w:w="48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29.3</w:t>
            </w:r>
          </w:p>
        </w:tc>
        <w:tc>
          <w:tcPr>
            <w:tcW w:w="520" w:type="dxa"/>
            <w:vAlign w:val="bottom"/>
          </w:tcPr>
          <w:p>
            <w:pPr>
              <w:spacing w:after="0"/>
              <w:rPr>
                <w:sz w:val="18"/>
                <w:szCs w:val="18"/>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used in diluted earnings per</w:t>
            </w:r>
          </w:p>
        </w:tc>
        <w:tc>
          <w:tcPr>
            <w:tcW w:w="4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common share calculation</w:t>
            </w:r>
          </w:p>
        </w:tc>
        <w:tc>
          <w:tcPr>
            <w:tcW w:w="420" w:type="dxa"/>
            <w:vAlign w:val="bottom"/>
            <w:shd w:val="clear" w:color="auto" w:fill="EEEEEE"/>
          </w:tcPr>
          <w:p>
            <w:pPr>
              <w:spacing w:after="0"/>
              <w:rPr>
                <w:sz w:val="20"/>
                <w:szCs w:val="20"/>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33.3</w:t>
            </w:r>
          </w:p>
        </w:tc>
        <w:tc>
          <w:tcPr>
            <w:tcW w:w="480" w:type="dxa"/>
            <w:vAlign w:val="bottom"/>
            <w:shd w:val="clear" w:color="auto" w:fill="EEEEEE"/>
          </w:tcPr>
          <w:p>
            <w:pPr>
              <w:spacing w:after="0"/>
              <w:rPr>
                <w:sz w:val="20"/>
                <w:szCs w:val="20"/>
                <w:color w:val="auto"/>
              </w:rPr>
            </w:pPr>
          </w:p>
        </w:tc>
        <w:tc>
          <w:tcPr>
            <w:tcW w:w="1060" w:type="dxa"/>
            <w:vAlign w:val="bottom"/>
            <w:shd w:val="clear" w:color="auto" w:fill="EEEEEE"/>
          </w:tcPr>
          <w:p>
            <w:pPr>
              <w:jc w:val="right"/>
              <w:ind w:right="433"/>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shd w:val="clear" w:color="auto" w:fill="EEEEEE"/>
          </w:tcPr>
          <w:p>
            <w:pPr>
              <w:spacing w:after="0"/>
              <w:rPr>
                <w:sz w:val="20"/>
                <w:szCs w:val="20"/>
                <w:color w:val="auto"/>
              </w:rPr>
            </w:pPr>
          </w:p>
        </w:tc>
        <w:tc>
          <w:tcPr>
            <w:tcW w:w="1120" w:type="dxa"/>
            <w:vAlign w:val="bottom"/>
            <w:shd w:val="clear" w:color="auto" w:fill="EEEEEE"/>
          </w:tcPr>
          <w:p>
            <w:pPr>
              <w:jc w:val="right"/>
              <w:ind w:right="493"/>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413"/>
              <w:spacing w:after="0"/>
              <w:rPr>
                <w:sz w:val="20"/>
                <w:szCs w:val="20"/>
                <w:color w:val="auto"/>
              </w:rPr>
            </w:pPr>
            <w:r>
              <w:rPr>
                <w:rFonts w:ascii="Times New Roman" w:cs="Times New Roman" w:eastAsia="Times New Roman" w:hAnsi="Times New Roman"/>
                <w:sz w:val="18"/>
                <w:szCs w:val="18"/>
                <w:color w:val="auto"/>
              </w:rPr>
              <w:t>30.4</w:t>
            </w:r>
          </w:p>
        </w:tc>
        <w:tc>
          <w:tcPr>
            <w:tcW w:w="44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Dividends on Class A Convertible Preferred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Prior year presentations have been changed to conform to fiscal 2004 presentation; these changes did not impact net income.</w:t>
      </w:r>
    </w:p>
    <w:p>
      <w:pPr>
        <w:spacing w:after="0" w:line="22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Substral® brand acquired from Henkel KGaA from January 2001.</w:t>
      </w:r>
    </w:p>
    <w:p>
      <w:pPr>
        <w:spacing w:after="0" w:line="225" w:lineRule="exact"/>
        <w:rPr>
          <w:rFonts w:ascii="Times New Roman" w:cs="Times New Roman" w:eastAsia="Times New Roman" w:hAnsi="Times New Roman"/>
          <w:sz w:val="18"/>
          <w:szCs w:val="18"/>
          <w:color w:val="auto"/>
        </w:rPr>
      </w:pPr>
    </w:p>
    <w:p>
      <w:pPr>
        <w:ind w:left="360" w:right="300" w:hanging="352"/>
        <w:spacing w:after="0" w:line="275"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fiscal 2004, 2003, 2002 and 2001 includes $9.7, $17.1, $8.1 and $75.7 of restructuring and other charges, respectively. Gross profit for fiscal 2004, 2003, 2002 and 2001 includes $0.6, $9.1, $1.7 and $7.3 of restructuring and other charges, respectively.</w:t>
      </w:r>
    </w:p>
    <w:p>
      <w:pPr>
        <w:spacing w:after="0" w:line="17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refinancings of $45.5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21" w:name="page22"/>
    <w:bookmarkEnd w:id="21"/>
    <w:p>
      <w:pPr>
        <w:ind w:left="360" w:right="720" w:hanging="352"/>
        <w:spacing w:after="0" w:line="275"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earnings per share would have been as follows if the accounting change for intangible assets adopted in the fiscal year beginning October 1, 2001, had been adopted as of October 1, 1999:</w:t>
      </w:r>
    </w:p>
    <w:p>
      <w:pPr>
        <w:spacing w:after="0" w:line="3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 the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20" w:type="dxa"/>
            <w:vAlign w:val="bottom"/>
          </w:tcPr>
          <w:p>
            <w:pPr>
              <w:jc w:val="center"/>
              <w:ind w:left="484"/>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22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2001</w:t>
            </w: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220" w:type="dxa"/>
            <w:vAlign w:val="bottom"/>
            <w:shd w:val="clear" w:color="auto" w:fill="EEEEEE"/>
          </w:tcPr>
          <w:p>
            <w:pPr>
              <w:jc w:val="right"/>
              <w:ind w:right="524"/>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shd w:val="clear" w:color="auto" w:fill="EEEEEE"/>
          </w:tcPr>
          <w:p>
            <w:pPr>
              <w:jc w:val="right"/>
              <w:ind w:right="57"/>
              <w:spacing w:after="0"/>
              <w:rPr>
                <w:sz w:val="20"/>
                <w:szCs w:val="20"/>
                <w:color w:val="auto"/>
              </w:rPr>
            </w:pPr>
            <w:r>
              <w:rPr>
                <w:rFonts w:ascii="Times New Roman" w:cs="Times New Roman" w:eastAsia="Times New Roman" w:hAnsi="Times New Roman"/>
                <w:sz w:val="18"/>
                <w:szCs w:val="18"/>
                <w:color w:val="auto"/>
                <w:w w:val="93"/>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1.13</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20" w:type="dxa"/>
            <w:vAlign w:val="bottom"/>
            <w:shd w:val="clear" w:color="auto" w:fill="EEEEEE"/>
          </w:tcPr>
          <w:p>
            <w:pPr>
              <w:jc w:val="right"/>
              <w:ind w:right="524"/>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shd w:val="clear" w:color="auto" w:fill="EEEEEE"/>
          </w:tcPr>
          <w:p>
            <w:pPr>
              <w:jc w:val="right"/>
              <w:ind w:right="57"/>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20" w:hanging="352"/>
        <w:spacing w:after="0" w:line="290"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accounting principles generally accepted in the United States of America, and EBITDA does not necessarily indicate whether cash flow will be sufficient to meet cash requirements. EBITDA margin is calculated as EBITDA divided into net sales. Our measure of EBITDA, which may not be similar to other similarly titled captions used by other companies, excludes $24.9 million of cash expenses related to the refinancings of the Company’s credit facility and redemption of the Company’s 8 5/8% subordinated notes in fiscal 2004. These expenses have been excluded since they are deemed to be financing related costs that are typically excluded from the presentation of EBITDA and the definitions used by our lenders to evaluate the Company’s compliance with its debt agreements. A numeric reconciliation of EBITDA to income from operations is as follows:</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fiscal year ended September 30,</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$252.8</w:t>
            </w: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$238.4</w:t>
            </w:r>
          </w:p>
        </w:tc>
        <w:tc>
          <w:tcPr>
            <w:tcW w:w="110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$310.5</w:t>
            </w: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$281.9</w:t>
            </w:r>
          </w:p>
        </w:tc>
        <w:tc>
          <w:tcPr>
            <w:tcW w:w="110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$177.0</w:t>
            </w:r>
          </w:p>
        </w:tc>
        <w:tc>
          <w:tcPr>
            <w:tcW w:w="11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Scotts is the leading manufacturer and marketer of consumer branded products for lawn and garden care and professional horticulture in the United States and Europe. We also have a presence in Canada, Australia, the Far East, Latin America and South America. Also, in the United States, we operate the second largest residential lawn service business, Scotts LawnService®. In fiscal 2004, our operations were divided into three business segments: North America, Scotts LawnService®, and International. The North America segment includes the Lawns, Gardening Products, Ortho®, North America Professional and Canadian business groups. We are also Monsanto’s exclusive agent for the marketing and distribution of consumer Roundup® non-selective herbicide within the United States and other contractually specified countries.</w:t>
      </w:r>
    </w:p>
    <w:p>
      <w:pPr>
        <w:spacing w:after="0" w:line="2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fiscal 2004, we continued the rapid expansion of our Scotts LawnService® business. Through acquisitions and internal growth, revenues increased from approximately $42 million in fiscal 2001 to over $135 million in fiscal 2004. We invested approximately $4 million of capital in lawn care acquisitions in fiscal 2004 and expect to continue to make selective acquisitions in fiscal 2005 and beyond. In addition, we invested approximately $5.2 million to buyout the minority owners in the Scotts LawnService® business.</w:t>
      </w:r>
    </w:p>
    <w:p>
      <w:pPr>
        <w:spacing w:after="0" w:line="2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we believe that Scotts receives a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spacing w:after="0" w:line="262" w:lineRule="auto"/>
        <w:rPr>
          <w:sz w:val="20"/>
          <w:szCs w:val="20"/>
          <w:color w:val="auto"/>
        </w:rPr>
      </w:pPr>
      <w:r>
        <w:rPr>
          <w:rFonts w:ascii="Times New Roman" w:cs="Times New Roman" w:eastAsia="Times New Roman" w:hAnsi="Times New Roman"/>
          <w:sz w:val="18"/>
          <w:szCs w:val="18"/>
          <w:color w:val="auto"/>
        </w:rPr>
        <w:t>return on these marketing expenditures. We expect that we will continue to focus our marketing efforts toward the consumer and make additional targeted investments in consumer marketing expenditures in the future to continue to drive market share and sales growth. In fiscal 2005, we expect to increase advertising spending as we deliver a new media message for Ortho®, lawns, Miracle-Gro®, and Roundup® on new products.</w:t>
      </w:r>
    </w:p>
    <w:p>
      <w:pPr>
        <w:spacing w:after="0" w:line="213" w:lineRule="exact"/>
        <w:rPr>
          <w:sz w:val="20"/>
          <w:szCs w:val="20"/>
          <w:color w:val="auto"/>
        </w:rPr>
      </w:pPr>
    </w:p>
    <w:p>
      <w:pPr>
        <w:jc w:val="both"/>
        <w:ind w:right="260" w:firstLine="324"/>
        <w:spacing w:after="0" w:line="262" w:lineRule="auto"/>
        <w:rPr>
          <w:sz w:val="20"/>
          <w:szCs w:val="20"/>
          <w:color w:val="auto"/>
        </w:rPr>
      </w:pPr>
      <w:r>
        <w:rPr>
          <w:rFonts w:ascii="Times New Roman" w:cs="Times New Roman" w:eastAsia="Times New Roman" w:hAnsi="Times New Roman"/>
          <w:sz w:val="18"/>
          <w:szCs w:val="18"/>
          <w:color w:val="auto"/>
        </w:rPr>
        <w:t>Our sales are susceptible to global weather conditions. For instance, periods of wet weather like we experienced in the spring of 2003 in the United States could adversely impact sales of certain products, while increasing demand for other products. We believe that our past acquisitions have somewhat diversified both our product line risk and geographic risk to weather conditions.</w:t>
      </w:r>
    </w:p>
    <w:p>
      <w:pPr>
        <w:spacing w:after="0" w:line="213"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Historically, the majority of our shipments to retailers have occurred in the second and third fiscal quarters. However, over the past few years, retailers have reduced their pre-season inventories by relying on Scotts to deliver products “in season” when consumers seek to buy our products. This change in retailer purchasing patterns and the increasing importance of Scotts LawnService® revenues has caused a sales shift from our second fiscal quarter to the third and fourth fiscal quarters. Net sales by quarter were 8.9%, 35.5%, 37.7%, and 17.9%, respectively, of fiscal 2004 net sales. Concurrent with this sales shift, and because of the expansion of Scotts LawnService®, the Company has experienced a shift in profitability from the second to third and fourth fiscal quarters, with the third fiscal quarter now more profitable than the second fiscal quarter. The Company’s fourth fiscal quarter, historically a loss making quarter, improved in fiscal 2004.</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The fair value of future awards is being expensed ratably over the vesting period, which has historically been three years, except for grants to directors, which have a six-month vesting period. The related compensation expense recorded in fiscal 2004 and 2003 was $7.8 million and $4.8 million, respectively.</w:t>
      </w:r>
    </w:p>
    <w:p>
      <w:pPr>
        <w:spacing w:after="0" w:line="22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fiscal 2002, we adopted Statement of Financial Accounting Standards No. 142, “Goodwill and Other Intangible Assets.” This standard eliminates the requirement to amortize indefinite-lived assets and goodwill. It also requires an initial impairment test on all indefinite-lived assets as of the date of adoption of this standard and impairment tests done at least annually thereafter. We completed our initial impairment analysis in the second quarter of fiscal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was recorded as a cumulative effect of a change in accounting principle. There was no goodwill impairment as of the date of adoption. Upon completing the annual impairment analysis in the first quarter of fiscal 2004, it was determined that a charge for impairment was not required.</w:t>
      </w:r>
    </w:p>
    <w:p>
      <w:pPr>
        <w:spacing w:after="0" w:line="21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In fiscal 2002, we announced the International Profit Improvement Plan (the “Plan”) to improve the operations and profitability of our European-based consumer and professional businesses. By the end of 2005, we anticipate spending between $45 million and $50 million in the aggregate on various projects related to this plan, approximately 25% of which will be capital expenditures. Approximately 75% of the total spending relates to the reorganization and rationalization of our European supply chain, increased sales force productivity, and a shift to pan-European category management of our product portfolio. As part of this initiative, restructuring and other charges will be incurred at various times.</w:t>
      </w:r>
    </w:p>
    <w:p>
      <w:pPr>
        <w:spacing w:after="0" w:line="220"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Under the Plan, profitability has improved, but the International business continues to perform below expectations. As such, we are exploring all options for our International business, with the goal of improving shareholder value. For further information concerning the restructuring charges incurred in fiscal years 2004, 2003 and 2002, see Note 4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4" w:lineRule="exact"/>
        <w:rPr>
          <w:sz w:val="20"/>
          <w:szCs w:val="20"/>
          <w:color w:val="auto"/>
        </w:rPr>
      </w:pPr>
    </w:p>
    <w:p>
      <w:pPr>
        <w:ind w:right="320" w:firstLine="270"/>
        <w:spacing w:after="0" w:line="275" w:lineRule="auto"/>
        <w:rPr>
          <w:sz w:val="20"/>
          <w:szCs w:val="20"/>
          <w:color w:val="auto"/>
        </w:rPr>
      </w:pPr>
      <w:r>
        <w:rPr>
          <w:rFonts w:ascii="Times New Roman" w:cs="Times New Roman" w:eastAsia="Times New Roman" w:hAnsi="Times New Roman"/>
          <w:sz w:val="18"/>
          <w:szCs w:val="18"/>
          <w:color w:val="auto"/>
        </w:rPr>
        <w:t>The following discussion and analysis of the consolidated results of operations and financial position should be read in conjunction with our Consolidated Financial Statements included under “ITEM 8. FINANCIAL STATEMENTS AND SUPPLEMENTARY DATA.”</w:t>
      </w:r>
    </w:p>
    <w:p>
      <w:pPr>
        <w:spacing w:after="0" w:line="20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95" w:lineRule="exact"/>
        <w:rPr>
          <w:sz w:val="20"/>
          <w:szCs w:val="20"/>
          <w:color w:val="auto"/>
        </w:rPr>
      </w:pPr>
    </w:p>
    <w:p>
      <w:pPr>
        <w:ind w:left="460" w:right="20" w:hanging="101"/>
        <w:spacing w:after="0" w:line="254"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investments in property and equipment, intangible assets and goodwill. Whenever changing conditions warrant, we review the realizability of the assets that may be affected.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222" w:lineRule="exact"/>
        <w:rPr>
          <w:rFonts w:ascii="Times New Roman" w:cs="Times New Roman" w:eastAsia="Times New Roman" w:hAnsi="Times New Roman"/>
          <w:sz w:val="18"/>
          <w:szCs w:val="18"/>
          <w:color w:val="auto"/>
        </w:rPr>
      </w:pPr>
    </w:p>
    <w:p>
      <w:pPr>
        <w:ind w:left="460" w:hanging="101"/>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213" w:lineRule="exact"/>
        <w:rPr>
          <w:rFonts w:ascii="Times New Roman" w:cs="Times New Roman" w:eastAsia="Times New Roman" w:hAnsi="Times New Roman"/>
          <w:sz w:val="18"/>
          <w:szCs w:val="18"/>
          <w:color w:val="auto"/>
        </w:rPr>
      </w:pPr>
    </w:p>
    <w:p>
      <w:pPr>
        <w:ind w:left="460" w:right="40" w:hanging="101"/>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213" w:lineRule="exact"/>
        <w:rPr>
          <w:rFonts w:ascii="Times New Roman" w:cs="Times New Roman" w:eastAsia="Times New Roman" w:hAnsi="Times New Roman"/>
          <w:sz w:val="18"/>
          <w:szCs w:val="18"/>
          <w:color w:val="auto"/>
        </w:rPr>
      </w:pPr>
    </w:p>
    <w:p>
      <w:pPr>
        <w:ind w:left="460" w:right="120" w:hanging="101"/>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213" w:lineRule="exact"/>
        <w:rPr>
          <w:rFonts w:ascii="Times New Roman" w:cs="Times New Roman" w:eastAsia="Times New Roman" w:hAnsi="Times New Roman"/>
          <w:sz w:val="18"/>
          <w:szCs w:val="18"/>
          <w:color w:val="auto"/>
        </w:rPr>
      </w:pPr>
    </w:p>
    <w:p>
      <w:pPr>
        <w:ind w:left="460" w:hanging="101"/>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more fully in the Notes to the Consolidated Financial Statements,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217" w:lineRule="exact"/>
        <w:rPr>
          <w:rFonts w:ascii="Times New Roman" w:cs="Times New Roman" w:eastAsia="Times New Roman" w:hAnsi="Times New Roman"/>
          <w:sz w:val="18"/>
          <w:szCs w:val="18"/>
          <w:color w:val="auto"/>
        </w:rPr>
      </w:pPr>
    </w:p>
    <w:p>
      <w:pPr>
        <w:ind w:left="460" w:right="60" w:hanging="101"/>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24" w:name="page25"/>
    <w:bookmarkEnd w:id="24"/>
    <w:p>
      <w:pPr>
        <w:ind w:left="101" w:right="60" w:hanging="101"/>
        <w:spacing w:after="0" w:line="253" w:lineRule="auto"/>
        <w:tabs>
          <w:tab w:leader="none" w:pos="1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224" w:lineRule="exact"/>
        <w:rPr>
          <w:rFonts w:ascii="Times New Roman" w:cs="Times New Roman" w:eastAsia="Times New Roman" w:hAnsi="Times New Roman"/>
          <w:sz w:val="18"/>
          <w:szCs w:val="18"/>
          <w:color w:val="auto"/>
        </w:rPr>
      </w:pPr>
    </w:p>
    <w:p>
      <w:pPr>
        <w:ind w:left="101" w:hanging="101"/>
        <w:spacing w:after="0" w:line="255" w:lineRule="auto"/>
        <w:tabs>
          <w:tab w:leader="none" w:pos="1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more fully in the Notes to the Consolidated Financial Statements, we have not accrued the deferred contribution under the Roundup® marketing agreement with Monsanto or the per annum charges thereon. We consider this method of accounting for the contribution payments to be appropriate after consideration of the likely term of the agreement, our ability to terminate the agreement without paying the deferred amounts, and the fact that a significant portion of the deferred amount is never paid, even if the agreement is not terminated prior to 2018, unless significant earnings targets are exceeded. At September 30, 2004, contribution payments and related per annum charges of approximately $47.6 million had been deferred under the agreement.</w:t>
      </w:r>
    </w:p>
    <w:p>
      <w:pPr>
        <w:spacing w:after="0" w:line="220" w:lineRule="exact"/>
        <w:rPr>
          <w:rFonts w:ascii="Times New Roman" w:cs="Times New Roman" w:eastAsia="Times New Roman" w:hAnsi="Times New Roman"/>
          <w:sz w:val="18"/>
          <w:szCs w:val="18"/>
          <w:color w:val="auto"/>
        </w:rPr>
      </w:pPr>
    </w:p>
    <w:p>
      <w:pPr>
        <w:ind w:left="101" w:hanging="101"/>
        <w:spacing w:after="0" w:line="256" w:lineRule="auto"/>
        <w:tabs>
          <w:tab w:leader="none" w:pos="1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the Consolidated Financial Statements provide information about our retirement plans including information regarding costs and assumptions for employee retirement benefits. The measurement of our pension obligations and costs is dependent on a variety of assumptions used in the actuarial valuations. These assumptions include estimates of the present value of projected future pension payments to all plan participants, taking into consideration the likelihood of potential future events such as salary increases and demographic experience. The assumptions used in developing the required estimates include the following key factors:</w:t>
      </w:r>
    </w:p>
    <w:p>
      <w:pPr>
        <w:spacing w:after="0" w:line="192"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79"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growth</w:t>
      </w:r>
    </w:p>
    <w:p>
      <w:pPr>
        <w:spacing w:after="0" w:line="279"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termination rates</w:t>
      </w:r>
    </w:p>
    <w:p>
      <w:pPr>
        <w:spacing w:after="0" w:line="279"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 on plan assets</w:t>
      </w:r>
    </w:p>
    <w:p>
      <w:pPr>
        <w:spacing w:after="0" w:line="279"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w:t>
      </w:r>
    </w:p>
    <w:p>
      <w:pPr>
        <w:spacing w:after="0" w:line="252" w:lineRule="exact"/>
        <w:rPr>
          <w:sz w:val="20"/>
          <w:szCs w:val="20"/>
          <w:color w:val="auto"/>
        </w:rPr>
      </w:pPr>
    </w:p>
    <w:p>
      <w:pPr>
        <w:ind w:left="221" w:right="20"/>
        <w:spacing w:after="0" w:line="255" w:lineRule="auto"/>
        <w:rPr>
          <w:sz w:val="20"/>
          <w:szCs w:val="20"/>
          <w:color w:val="auto"/>
        </w:rPr>
      </w:pPr>
      <w:r>
        <w:rPr>
          <w:rFonts w:ascii="Times New Roman" w:cs="Times New Roman" w:eastAsia="Times New Roman" w:hAnsi="Times New Roman"/>
          <w:sz w:val="18"/>
          <w:szCs w:val="18"/>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 and, therefore, generally affect our recognized expense in such future periods.</w:t>
      </w:r>
    </w:p>
    <w:p>
      <w:pPr>
        <w:spacing w:after="0" w:line="220" w:lineRule="exact"/>
        <w:rPr>
          <w:sz w:val="20"/>
          <w:szCs w:val="20"/>
          <w:color w:val="auto"/>
        </w:rPr>
      </w:pPr>
    </w:p>
    <w:p>
      <w:pPr>
        <w:ind w:left="221" w:right="40"/>
        <w:spacing w:after="0" w:line="258" w:lineRule="auto"/>
        <w:rPr>
          <w:sz w:val="20"/>
          <w:szCs w:val="20"/>
          <w:color w:val="auto"/>
        </w:rPr>
      </w:pPr>
      <w:r>
        <w:rPr>
          <w:rFonts w:ascii="Times New Roman" w:cs="Times New Roman" w:eastAsia="Times New Roman" w:hAnsi="Times New Roman"/>
          <w:sz w:val="18"/>
          <w:szCs w:val="18"/>
          <w:color w:val="auto"/>
        </w:rPr>
        <w:t>Changes in the discount rate and investment returns can have a significant effect on the funded status of our pension plans and shareholders’ equity. As stated above, we base the discount rate assumption on investment yields available at year-end on corporate long-term bonds rated AA or the equivalent. We cannot predict these bond yields or investment returns and, therefore, cannot reasonably estimate whether adjustments to our shareholders’ equity for minimum pension liability in subsequent years will be significant.</w:t>
      </w:r>
    </w:p>
    <w:p>
      <w:pPr>
        <w:spacing w:after="0" w:line="190" w:lineRule="exact"/>
        <w:rPr>
          <w:sz w:val="20"/>
          <w:szCs w:val="20"/>
          <w:color w:val="auto"/>
        </w:rPr>
      </w:pPr>
    </w:p>
    <w:p>
      <w:pPr>
        <w:ind w:left="101" w:right="260" w:hanging="101"/>
        <w:spacing w:after="0" w:line="258" w:lineRule="auto"/>
        <w:tabs>
          <w:tab w:leader="none" w:pos="1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Consolidated Financial Statements provide information about medical benefits provided to our retired associates and their dependents including information regarding costs and assumptions for other postretirement benefits. The measurement of our obligations, costs and liabilities associated with other postretirement benefits (i.e., retiree health care) requires that we make use of estimates of the present value of the projected future payments to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130175</wp:posOffset>
            </wp:positionV>
            <wp:extent cx="386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151130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1"/>
          </w:cols>
          <w:pgMar w:left="599" w:top="935" w:right="279" w:bottom="1440" w:gutter="0" w:footer="0" w:header="0"/>
        </w:sectPr>
      </w:pPr>
    </w:p>
    <w:bookmarkStart w:id="25" w:name="page26"/>
    <w:bookmarkEnd w:id="25"/>
    <w:p>
      <w:pPr>
        <w:ind w:left="460" w:right="20"/>
        <w:spacing w:after="0" w:line="275" w:lineRule="auto"/>
        <w:rPr>
          <w:sz w:val="20"/>
          <w:szCs w:val="20"/>
          <w:color w:val="auto"/>
        </w:rPr>
      </w:pPr>
      <w:r>
        <w:rPr>
          <w:rFonts w:ascii="Times New Roman" w:cs="Times New Roman" w:eastAsia="Times New Roman" w:hAnsi="Times New Roman"/>
          <w:sz w:val="18"/>
          <w:szCs w:val="18"/>
          <w:color w:val="auto"/>
        </w:rPr>
        <w:t>taking into consideration the likelihood of potential future events such as health care cost increases, and demographic experience, which may have an effect on the amount and timing of future payments.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assumptions used in developing the required estimates include the following key factors:</w:t>
      </w:r>
    </w:p>
    <w:p>
      <w:pPr>
        <w:spacing w:after="0" w:line="252" w:lineRule="exact"/>
        <w:rPr>
          <w:sz w:val="20"/>
          <w:szCs w:val="20"/>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cost trends</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rates</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rates</w:t>
      </w:r>
    </w:p>
    <w:p>
      <w:pPr>
        <w:spacing w:after="0" w:line="252" w:lineRule="exact"/>
        <w:rPr>
          <w:sz w:val="20"/>
          <w:szCs w:val="20"/>
          <w:color w:val="auto"/>
        </w:rPr>
      </w:pPr>
    </w:p>
    <w:p>
      <w:pPr>
        <w:ind w:left="580" w:right="120"/>
        <w:spacing w:after="0" w:line="255" w:lineRule="auto"/>
        <w:rPr>
          <w:sz w:val="20"/>
          <w:szCs w:val="20"/>
          <w:color w:val="auto"/>
        </w:rPr>
      </w:pPr>
      <w:r>
        <w:rPr>
          <w:rFonts w:ascii="Times New Roman" w:cs="Times New Roman" w:eastAsia="Times New Roman" w:hAnsi="Times New Roman"/>
          <w:sz w:val="18"/>
          <w:szCs w:val="18"/>
          <w:color w:val="auto"/>
        </w:rPr>
        <w:t>Our health care cost trend assumptions are developed based on historical cost data, the near-term outlook, efficiencies and other cost-mitigation actions (including further employee cost sharing, administrative improvements and other efficiencies) and an assessment of likely long-term trends. We base the discount rate assumption on investment yields available at year-end on corporate long-term bonds rated AA. Our inflation assumption is based on an evaluation of external market indicators. Retirement and mortality rates are based primarily on actual plan experience. The effects of actual results differing from our assumptions are accumulated and amortized over future periods and, therefore, generally affect our recognized expense in such future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and expense as a percentage of net sales for the three years ended September 30, 2004:</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3380" w:type="dxa"/>
            <w:vAlign w:val="bottom"/>
            <w:gridSpan w:val="4"/>
            <w:shd w:val="clear" w:color="auto" w:fill="EEEEEE"/>
          </w:tcPr>
          <w:p>
            <w:pPr>
              <w:jc w:val="right"/>
              <w:ind w:right="1940"/>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tcBorders>
              <w:right w:val="single" w:sz="8" w:color="EEEEEE"/>
            </w:tcBorders>
            <w:gridSpan w:val="2"/>
            <w:shd w:val="clear" w:color="auto" w:fill="EEEEEE"/>
          </w:tcPr>
          <w:p>
            <w:pPr>
              <w:jc w:val="right"/>
              <w:ind w:right="1340"/>
              <w:spacing w:after="0"/>
              <w:rPr>
                <w:sz w:val="20"/>
                <w:szCs w:val="20"/>
                <w:color w:val="auto"/>
              </w:rPr>
            </w:pPr>
            <w:r>
              <w:rPr>
                <w:rFonts w:ascii="Times New Roman" w:cs="Times New Roman" w:eastAsia="Times New Roman" w:hAnsi="Times New Roman"/>
                <w:sz w:val="18"/>
                <w:szCs w:val="18"/>
                <w:color w:val="auto"/>
                <w:w w:val="97"/>
              </w:rPr>
              <w:t>100.0%</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w w:val="93"/>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Commission earned from marketing agreement, net</w:t>
            </w:r>
          </w:p>
        </w:tc>
        <w:tc>
          <w:tcPr>
            <w:tcW w:w="3380" w:type="dxa"/>
            <w:vAlign w:val="bottom"/>
            <w:gridSpan w:val="4"/>
            <w:shd w:val="clear" w:color="auto" w:fill="EEEEEE"/>
          </w:tcPr>
          <w:p>
            <w:pPr>
              <w:jc w:val="right"/>
              <w:ind w:right="2020"/>
              <w:spacing w:after="0"/>
              <w:rPr>
                <w:sz w:val="20"/>
                <w:szCs w:val="20"/>
                <w:color w:val="auto"/>
              </w:rPr>
            </w:pPr>
            <w:r>
              <w:rPr>
                <w:rFonts w:ascii="Times New Roman" w:cs="Times New Roman" w:eastAsia="Times New Roman" w:hAnsi="Times New Roman"/>
                <w:sz w:val="18"/>
                <w:szCs w:val="18"/>
                <w:color w:val="auto"/>
              </w:rPr>
              <w:t>(1.4)</w:t>
            </w:r>
          </w:p>
        </w:tc>
        <w:tc>
          <w:tcPr>
            <w:tcW w:w="1900" w:type="dxa"/>
            <w:vAlign w:val="bottom"/>
            <w:tcBorders>
              <w:right w:val="single" w:sz="8" w:color="EEEEEE"/>
            </w:tcBorders>
            <w:gridSpan w:val="2"/>
            <w:shd w:val="clear" w:color="auto" w:fill="EEEEEE"/>
          </w:tcPr>
          <w:p>
            <w:pPr>
              <w:jc w:val="right"/>
              <w:ind w:right="1440"/>
              <w:spacing w:after="0"/>
              <w:rPr>
                <w:sz w:val="20"/>
                <w:szCs w:val="20"/>
                <w:color w:val="auto"/>
              </w:rPr>
            </w:pPr>
            <w:r>
              <w:rPr>
                <w:rFonts w:ascii="Times New Roman" w:cs="Times New Roman" w:eastAsia="Times New Roman" w:hAnsi="Times New Roman"/>
                <w:sz w:val="18"/>
                <w:szCs w:val="18"/>
                <w:color w:val="auto"/>
              </w:rPr>
              <w:t>(0.9)</w:t>
            </w:r>
          </w:p>
        </w:tc>
        <w:tc>
          <w:tcPr>
            <w:tcW w:w="7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Selling, general and administrative — lawn service business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goodwill and other intangibles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380" w:type="dxa"/>
            <w:vAlign w:val="bottom"/>
            <w:gridSpan w:val="4"/>
          </w:tcPr>
          <w:p>
            <w:pPr>
              <w:jc w:val="right"/>
              <w:ind w:right="2020"/>
              <w:spacing w:after="0"/>
              <w:rPr>
                <w:sz w:val="20"/>
                <w:szCs w:val="20"/>
                <w:color w:val="auto"/>
              </w:rPr>
            </w:pPr>
            <w:r>
              <w:rPr>
                <w:rFonts w:ascii="Times New Roman" w:cs="Times New Roman" w:eastAsia="Times New Roman" w:hAnsi="Times New Roman"/>
                <w:sz w:val="18"/>
                <w:szCs w:val="18"/>
                <w:color w:val="auto"/>
              </w:rPr>
              <w:t>(0.5)</w:t>
            </w:r>
          </w:p>
        </w:tc>
        <w:tc>
          <w:tcPr>
            <w:tcW w:w="190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(0.6)</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refinancings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 intangible assets, net of</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80" w:type="dxa"/>
            <w:vAlign w:val="bottom"/>
            <w:gridSpan w:val="4"/>
            <w:shd w:val="clear" w:color="auto" w:fill="EEEEEE"/>
          </w:tcPr>
          <w:p>
            <w:pPr>
              <w:jc w:val="right"/>
              <w:ind w:right="1940"/>
              <w:spacing w:after="0"/>
              <w:rPr>
                <w:sz w:val="20"/>
                <w:szCs w:val="20"/>
                <w:color w:val="auto"/>
              </w:rPr>
            </w:pPr>
            <w:r>
              <w:rPr>
                <w:rFonts w:ascii="Times New Roman" w:cs="Times New Roman" w:eastAsia="Times New Roman" w:hAnsi="Times New Roman"/>
                <w:sz w:val="18"/>
                <w:szCs w:val="18"/>
                <w:color w:val="auto"/>
              </w:rPr>
              <w:t>5.0%</w:t>
            </w:r>
          </w:p>
        </w:tc>
        <w:tc>
          <w:tcPr>
            <w:tcW w:w="1900" w:type="dxa"/>
            <w:vAlign w:val="bottom"/>
            <w:tcBorders>
              <w:right w:val="single" w:sz="8" w:color="EEEEEE"/>
            </w:tcBorders>
            <w:gridSpan w:val="2"/>
            <w:shd w:val="clear" w:color="auto" w:fill="EEEEEE"/>
          </w:tcPr>
          <w:p>
            <w:pPr>
              <w:jc w:val="right"/>
              <w:ind w:right="134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978"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color w:val="auto"/>
        </w:rPr>
        <w:t>The following table sets forth net sales by reportable segment for the three years ended September 30, 2004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2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8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$1,311.9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Scotts LawnService®</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8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336.2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20" w:type="dxa"/>
            <w:vAlign w:val="bottom"/>
            <w:gridSpan w:val="2"/>
          </w:tcPr>
          <w:p>
            <w:pPr>
              <w:spacing w:after="0"/>
              <w:rPr>
                <w:sz w:val="9"/>
                <w:szCs w:val="9"/>
                <w:color w:val="auto"/>
              </w:rPr>
            </w:pPr>
          </w:p>
        </w:tc>
        <w:tc>
          <w:tcPr>
            <w:tcW w:w="2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3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3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2004 Compared to Fiscal 2003</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sales for fiscal 2004 increased 8.0% to $2,037.9 million from $1,887.7 million in fiscal 2003.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 America segment net sales were $1,483.2 million in fiscal 2004, an increase of $94.3 million, or 6.8%, from net sales for fiscal 2003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$1,388.9 million. Within the North America segment, Lawns net sales in fiscal 2004 increased 4.6% due to continued strong sales of value-added combination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products, such as Turf Builder® Fertilizer with Halts® Crab Grass Preventer, Turf Builder® with Plus 2® Weed Control and Bonus S®, offset by spreader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grass seed sales which were especially flat year-over-year. Gardening Products sales, which include growing media and garden fertilizers, increased 3.1% with</w:t>
      </w:r>
    </w:p>
    <w:p>
      <w:pPr>
        <w:spacing w:after="0" w:line="32"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color w:val="auto"/>
        </w:rPr>
        <w:t>higher sales of value-added Miracle-Gro® potting mix and garden soils partially offset by lower sales of commodity growing media products. Net sales of Ortho® products increased a robust 16.1% in fiscal 2004, driven largely by the successful launches of Bug B Gon® Max</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Ortho® Season-Long</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Grass and Weed Killer and a new range of opening price point weed and insect control products under the Ortho® Basic Solutions label at a major retailer.</w:t>
      </w:r>
    </w:p>
    <w:p>
      <w:pPr>
        <w:spacing w:after="0" w:line="231" w:lineRule="exact"/>
        <w:rPr>
          <w:sz w:val="20"/>
          <w:szCs w:val="20"/>
          <w:color w:val="auto"/>
        </w:rPr>
      </w:pPr>
    </w:p>
    <w:p>
      <w:pPr>
        <w:ind w:right="80" w:firstLine="324"/>
        <w:spacing w:after="0" w:line="339" w:lineRule="auto"/>
        <w:rPr>
          <w:sz w:val="20"/>
          <w:szCs w:val="20"/>
          <w:color w:val="auto"/>
        </w:rPr>
      </w:pPr>
      <w:r>
        <w:rPr>
          <w:rFonts w:ascii="Times New Roman" w:cs="Times New Roman" w:eastAsia="Times New Roman" w:hAnsi="Times New Roman"/>
          <w:sz w:val="16"/>
          <w:szCs w:val="16"/>
          <w:color w:val="auto"/>
        </w:rPr>
        <w:t>Scotts LawnService® net sales increased 22.5% from $110.4 million in fiscal 2003 to $135.2 million in fiscal 2004. The growth in net sales has been largely fueled by increased customer retention, higher new customer sales during the peak spring selling season, and the full year impact of fiscal 2003 acquisitions.</w:t>
      </w:r>
    </w:p>
    <w:p>
      <w:pPr>
        <w:spacing w:after="0" w:line="1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Net sales for the International segment were $419.5 million in fiscal 2004, an increase of $31.1 million, or 8.0%, compared to fiscal 2003. Excluding the effects of currency fluctuations and the impact of discontinuing the sale of certain low margin professional products, net sales were essentially unchanged in fiscal 2004 versus prior year. Sales increases in the United Kingdom and the International professional business were offset by lower sales in Central Europe and the Benelux countries, due largely to unusually cold and wet spring weather conditions, and in Asia Pacific, primarily due to continuing drought conditions in Australia which decreased fertilizer demand.</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price changes were not material to net sales in fiscal 2004 or fiscal 2003.</w:t>
      </w:r>
    </w:p>
    <w:p>
      <w:pPr>
        <w:spacing w:after="0" w:line="25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Gross profit increased $80.8 million in fiscal 2004 compared to fiscal 2003. As a percentage of net sales, gross profit was 37.8% of net sales in fiscal 2004 compared to 36.5% in fiscal 2003. Gross margins were higher in all three business segments. Favorable product mix, coupled with warehousing and material handling efficiency gains, more than offset the impact of higher fuel costs and inflationary pressure on key raw material inputs such as urea. Lastly, restructuring and other expenses, included in cost of sales, primarily related to International supply chain initiatives, decreased from $9.1 million in fiscal 2003 to $0.6 million in fiscal 2004, increasing gross profit as a percentage of net sales by approximately 50 basis points.</w:t>
      </w:r>
    </w:p>
    <w:p>
      <w:pPr>
        <w:spacing w:after="0" w:line="220" w:lineRule="exact"/>
        <w:rPr>
          <w:sz w:val="20"/>
          <w:szCs w:val="20"/>
          <w:color w:val="auto"/>
        </w:rPr>
      </w:pPr>
    </w:p>
    <w:p>
      <w:pPr>
        <w:ind w:right="60" w:firstLine="324"/>
        <w:spacing w:after="0" w:line="310" w:lineRule="auto"/>
        <w:rPr>
          <w:sz w:val="20"/>
          <w:szCs w:val="20"/>
          <w:color w:val="auto"/>
        </w:rPr>
      </w:pPr>
      <w:r>
        <w:rPr>
          <w:rFonts w:ascii="Times New Roman" w:cs="Times New Roman" w:eastAsia="Times New Roman" w:hAnsi="Times New Roman"/>
          <w:sz w:val="16"/>
          <w:szCs w:val="16"/>
          <w:color w:val="auto"/>
        </w:rPr>
        <w:t>The net commission earned from the Roundup® marketing agreement in fiscal 2004 was $28.5 million compared to $17.6 million in fiscal 2003. This strong growth in the commission as compared to the prior year is primarily due to strong underlying growth in Roundup® sales and improved product mix, partially offset by a $1.4 million increase in the contribution payment due to Monsanto, which increased from $25.0 million in fiscal 2003 to $26.4 million in fiscal 2004.</w:t>
      </w:r>
    </w:p>
    <w:p>
      <w:pPr>
        <w:spacing w:after="0" w:line="17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Advertising expenses in fiscal 2004 were $105.0 million, an increase of $7.3 million from fiscal 2003. Excluding the effects of currency fluctuations, advertising expenditures increased $4.6 million or 4.7% for the year, roughly in line with the growth in sales. The increase was primarily due to television media support for the Ortho® line, the launch of a new television advertising campaign for Evergreen® lawn fertilizer in the United Kingdom and increased media support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7" w:name="page28"/>
    <w:bookmarkEnd w:id="27"/>
    <w:p>
      <w:pPr>
        <w:ind w:firstLine="324"/>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expenses in fiscal 2004 were $442.3 million compared to $379.4 million in fiscal 2003. Excluding the expensing of stock-based compensation, infrastructure investments in Scotts LawnService® and restructuring and other charges, the Company’s SG&amp;A expenses increased $48.2 million, or 15.0%, compared to 2003. This increase was primarily due to investments in marketing research and in-store merchandising to support growth in the home center channel, increased sales and management incentives, higher legal expenses and foreign currency fluctuations. SG&amp;A expenses for Scotts LawnService® increased approximately 23% from $46.2 million in fiscal 2003 to $56.8 million in fiscal 2004, primarily due to higher field labor expenses to support growth in customer counts and service infrastructure investments. Compensation expense related to the expensing of employee stock-based compensation awards was $7.8 million and $4.8 million, respectively, in fiscal 2004 and fiscal 2003. SG&amp;A restructuring and other expenses increased from $8.0 million in fiscal 2003 to $9.1 million in 2004, primarily due to charges related to outsourcing of the Company’s data center and application software functions.</w:t>
      </w:r>
    </w:p>
    <w:p>
      <w:pPr>
        <w:spacing w:after="0" w:line="224" w:lineRule="exact"/>
        <w:rPr>
          <w:sz w:val="20"/>
          <w:szCs w:val="20"/>
          <w:color w:val="auto"/>
        </w:rPr>
      </w:pPr>
    </w:p>
    <w:p>
      <w:pPr>
        <w:ind w:right="480" w:firstLine="324"/>
        <w:spacing w:after="0" w:line="262" w:lineRule="auto"/>
        <w:rPr>
          <w:sz w:val="20"/>
          <w:szCs w:val="20"/>
          <w:color w:val="auto"/>
        </w:rPr>
      </w:pPr>
      <w:r>
        <w:rPr>
          <w:rFonts w:ascii="Times New Roman" w:cs="Times New Roman" w:eastAsia="Times New Roman" w:hAnsi="Times New Roman"/>
          <w:sz w:val="18"/>
          <w:szCs w:val="18"/>
          <w:color w:val="auto"/>
        </w:rPr>
        <w:t>Income from operations in fiscal 2004 was $252.8 million, compared to $231.6 million in fiscal 2003. This increase in income from operations reflects higher net sales and gross profit margins and significantly higher net commission earned from the Roundup® marketing agreement, partially offset by investments in media advertising and higher SG&amp;A expenses as described above.</w:t>
      </w:r>
    </w:p>
    <w:p>
      <w:pPr>
        <w:spacing w:after="0" w:line="213" w:lineRule="exact"/>
        <w:rPr>
          <w:sz w:val="20"/>
          <w:szCs w:val="20"/>
          <w:color w:val="auto"/>
        </w:rPr>
      </w:pPr>
    </w:p>
    <w:p>
      <w:pPr>
        <w:ind w:firstLine="324"/>
        <w:spacing w:after="0" w:line="296" w:lineRule="auto"/>
        <w:rPr>
          <w:sz w:val="20"/>
          <w:szCs w:val="20"/>
          <w:color w:val="auto"/>
        </w:rPr>
      </w:pPr>
      <w:r>
        <w:rPr>
          <w:rFonts w:ascii="Times New Roman" w:cs="Times New Roman" w:eastAsia="Times New Roman" w:hAnsi="Times New Roman"/>
          <w:sz w:val="16"/>
          <w:szCs w:val="16"/>
          <w:color w:val="auto"/>
        </w:rPr>
        <w:t>For segment reporting purposes, earnings before interest, taxes and amortization is used as the measure for operating income. On that basis, operating income in the North America segment increased from $282.8 million in fiscal 2003 to $308.9 million in fiscal 2004, on an increase in net sales from $1,388.9 million in fiscal 2003 to $1,483.2 million in fiscal 2004. Higher sales volume (primarily in the Ortho® and Lawns businesses), favorable product mix, largely due to new product introductions within the Ortho® line, a continued shift to value-added Growing Media sales, increased penetration of value added lawn combination products and warehousing and distribution efficiencies more than offset higher urea and freight costs and increased advertising and SG&amp;A expenses.</w:t>
      </w:r>
    </w:p>
    <w:p>
      <w:pPr>
        <w:spacing w:after="0" w:line="189"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Scotts LawnService® operating income increased from $6.2 million in fiscal 2003 to $9.8 million in fiscal 2004 due to significant improved gross profit margins, largely due to higher customer counts (as discussed above) and field productivity gains and supply chain savings realized during the year.</w:t>
      </w:r>
    </w:p>
    <w:p>
      <w:pPr>
        <w:spacing w:after="0" w:line="201" w:lineRule="exact"/>
        <w:rPr>
          <w:sz w:val="20"/>
          <w:szCs w:val="20"/>
          <w:color w:val="auto"/>
        </w:rPr>
      </w:pPr>
    </w:p>
    <w:p>
      <w:pPr>
        <w:jc w:val="both"/>
        <w:ind w:right="300" w:firstLine="324"/>
        <w:spacing w:after="0" w:line="262" w:lineRule="auto"/>
        <w:rPr>
          <w:sz w:val="20"/>
          <w:szCs w:val="20"/>
          <w:color w:val="auto"/>
        </w:rPr>
      </w:pPr>
      <w:r>
        <w:rPr>
          <w:rFonts w:ascii="Times New Roman" w:cs="Times New Roman" w:eastAsia="Times New Roman" w:hAnsi="Times New Roman"/>
          <w:sz w:val="18"/>
          <w:szCs w:val="18"/>
          <w:color w:val="auto"/>
        </w:rPr>
        <w:t>International operating income was $27.3 million in fiscal 2004, compared to $23.9 million in fiscal 2003. This increase in fiscal 2004 operating earnings was largely attributable to favorable foreign currency fluctuations and a reduction in restructuring expenses, as the majority of the initiatives to reorganize and rationalize the European Supply Chain were completed during 2003.</w:t>
      </w:r>
    </w:p>
    <w:p>
      <w:pPr>
        <w:spacing w:after="0" w:line="21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Interest expense decreased from $69.2 million in fiscal 2003 to $48.8 million in fiscal 2004. Costs related to the refinancings of the Company’s credit facility and redemption of the Company’s 8 5/8% Senior Subordinated Notes in fiscal 2004 totaled $45.5 million. The decrease in interest expense is due to a reduction of $107.0 million in average borrowings coupled with a reduction in the Company’s weighted average interest rate (from 7.42% in fiscal 2003 to 5.92% in fiscal 2004) resulting from more favorable terms under the New Credit Agreement discussed below under “Liquidity and Capital Resources,” and a favorable interest rate environment.</w:t>
      </w:r>
    </w:p>
    <w:p>
      <w:pPr>
        <w:spacing w:after="0" w:line="22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for fiscal 2004 was $58.0 million, compared to $59.2 million in fiscal 2003. The effective tax rate for fiscal 2004 was 36.6% as compared to 36.4% in fiscal 2003. In fiscal 2004, the Company’s effective income tax rate benefited from an adjustment to federal deferred income taxes after a detailed review of prior tax exposures. In fiscal 2003, the Company’s effective tax rate benefited from an adjustment of state deferred income taxes resulting from a detailed review of state effective tax rates, and increased utilization of foreign tax credits.</w:t>
      </w:r>
    </w:p>
    <w:p>
      <w:pPr>
        <w:spacing w:after="0" w:line="217" w:lineRule="exact"/>
        <w:rPr>
          <w:sz w:val="20"/>
          <w:szCs w:val="20"/>
          <w:color w:val="auto"/>
        </w:rPr>
      </w:pPr>
    </w:p>
    <w:p>
      <w:pPr>
        <w:ind w:right="100" w:firstLine="324"/>
        <w:spacing w:after="0" w:line="310" w:lineRule="auto"/>
        <w:rPr>
          <w:sz w:val="20"/>
          <w:szCs w:val="20"/>
          <w:color w:val="auto"/>
        </w:rPr>
      </w:pPr>
      <w:r>
        <w:rPr>
          <w:rFonts w:ascii="Times New Roman" w:cs="Times New Roman" w:eastAsia="Times New Roman" w:hAnsi="Times New Roman"/>
          <w:sz w:val="16"/>
          <w:szCs w:val="16"/>
          <w:color w:val="auto"/>
        </w:rPr>
        <w:t>The Company reported net income from continuing operations of $100.5 million in fiscal 2004, compared to $103.2 million in fiscal 2003. Income from discontinued operations pertains to the disposal of the Company’s professional growing media business at the end of fiscal 2004. Reported net income, including income from discontinued operations, decreased from $103.8 million or $3.23 per share in fiscal 2003 to $100.9 million or $3.03 per share in fiscal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105410</wp:posOffset>
            </wp:positionV>
            <wp:extent cx="386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8" w:name="page29"/>
    <w:bookmarkEnd w:id="28"/>
    <w:p>
      <w:pPr>
        <w:ind w:right="560" w:firstLine="324"/>
        <w:spacing w:after="0" w:line="275" w:lineRule="auto"/>
        <w:rPr>
          <w:sz w:val="20"/>
          <w:szCs w:val="20"/>
          <w:color w:val="auto"/>
        </w:rPr>
      </w:pPr>
      <w:r>
        <w:rPr>
          <w:rFonts w:ascii="Times New Roman" w:cs="Times New Roman" w:eastAsia="Times New Roman" w:hAnsi="Times New Roman"/>
          <w:sz w:val="18"/>
          <w:szCs w:val="18"/>
          <w:color w:val="auto"/>
        </w:rPr>
        <w:t>Average diluted shares outstanding increased from 32.1 million in fiscal 2003 to 33.3 million in fiscal 2004, due to option exercises and the impact on common stock equivalents of a higher average share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2003 Compared to Fiscal 2002</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sales for fiscal 2003 increased 9.5% to $1,887.7 million from $1,723.7 million in fiscal 2002.</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North America segment net sales were $1,388.9 million in fiscal 2003, an increase of $77.0 million, or 5.9%, from net sales for fiscal 2002 of</w:t>
      </w:r>
    </w:p>
    <w:p>
      <w:pPr>
        <w:spacing w:after="0" w:line="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$1,311.9 million. Within the North America segment, Lawns net sales in fiscal 2003 increased a robust 11.2% due to strong acceptance of the new Miracle-Gro® lawn fertilizer line at Wal*Mart and continued strong sales of Turf Builder® lawn fertilizer, control products and grass seed. Gardening Products sales, which include growing media and garden fertilizers, were essentially flat year-over-year with higher sales of value-added Miracle-Gro® potting mix and garden soils mainly offset by lower sales of commodity growing media products. Ortho® branded products net sales increased 2.1% in fiscal 2003, driven largely by strong sales of selective and non-selective weed control products and continued growth of the Ortho® Home Defense® indoor and perimeter pest control product line, partially offset by lower outdoor insect control sales.</w:t>
      </w:r>
    </w:p>
    <w:p>
      <w:pPr>
        <w:spacing w:after="0" w:line="22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Scotts LawnService® net sales increased 46.0% from $75.6 million in fiscal 2002 to $110.4 million in fiscal 2003. The growth in net sales has been largely fueled by geographic expansion and acquisitions. Spending on acquisitions, including seller-financing, reached $30.6 million in fiscal 2003 versus $54.8 million in fiscal 2002. Fiscal 2002 was affected by a major acquisition late in the year, representing nearly one-half of fiscal 2002 acquisition spending and favorably impacting fiscal 2003 net sales.</w:t>
      </w:r>
    </w:p>
    <w:p>
      <w:pPr>
        <w:spacing w:after="0" w:line="217"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Net sales for the International segment were $388.4 million in fiscal 2003, an increase of $52.2 million, or 15.5%, compared to fiscal 2002. Sales increased in all major countries except Germany which experienced lower sales due to increased regulatory restrictions. Excluding the effects of currency fluctuations and non-recurring sales from previous supply agreements, net sales decreased approximately $2.0 million, or 0.6%, in fiscal 2003.</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price changes were not material to net sales in fiscal 2003 or fiscal 2002.</w:t>
      </w:r>
    </w:p>
    <w:p>
      <w:pPr>
        <w:spacing w:after="0" w:line="25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Gross profit increased $55.7 million in fiscal 2003 compared to fiscal 2002. As a percentage of net sales, gross profit was 36.5% of net sales in fiscal 2003 compared to 36.7% in fiscal 2002. Favorable impacts were realized from certain supply chain initiatives and higher volume. These benefits were offset by unfavorable warehousing and material handling costs and product mix, particularly in our Lawns business, which was also impacted by higher urea costs. Lastly, restructuring and other expenses, included in cost of sales, primarily related to International supply chain initiatives, increased from $1.7 million in fiscal 2002 to $9.1 million in fiscal 2003, reducing gross profit as a percentage of net sales by 40 basis points.</w:t>
      </w:r>
    </w:p>
    <w:p>
      <w:pPr>
        <w:spacing w:after="0" w:line="220" w:lineRule="exact"/>
        <w:rPr>
          <w:sz w:val="20"/>
          <w:szCs w:val="20"/>
          <w:color w:val="auto"/>
        </w:rPr>
      </w:pPr>
    </w:p>
    <w:p>
      <w:pPr>
        <w:ind w:right="440" w:firstLine="324"/>
        <w:spacing w:after="0" w:line="310" w:lineRule="auto"/>
        <w:rPr>
          <w:sz w:val="20"/>
          <w:szCs w:val="20"/>
          <w:color w:val="auto"/>
        </w:rPr>
      </w:pPr>
      <w:r>
        <w:rPr>
          <w:rFonts w:ascii="Times New Roman" w:cs="Times New Roman" w:eastAsia="Times New Roman" w:hAnsi="Times New Roman"/>
          <w:sz w:val="16"/>
          <w:szCs w:val="16"/>
          <w:color w:val="auto"/>
        </w:rPr>
        <w:t>The net commission earned from the Roundup® marketing agreement in fiscal 2003 was $17.6 million compared to $16.2 million in fiscal 2002. The increase from the prior year is primarily due to strong underlying growth in Roundup® sales, which drove the gross commission higher, partially offset by a $5.0 million increase in the contribution payment due to Monsanto, which increased from $20.0 million in fiscal 2002 to $25.0 million in fiscal 2003.</w:t>
      </w:r>
    </w:p>
    <w:p>
      <w:pPr>
        <w:spacing w:after="0" w:line="178"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Advertising expenses in fiscal 2003 were $97.7 million, an increase of $15.5 million from fiscal 2002. The increase in advertising expenses is primarily due to the re-launch of television media support for the Ortho® line and media support for new product launches such as Miracle-Gro® Shake N’ Feed®. Foreign currency fluctuations also increased reported advertising expenses by $2.7 million.</w:t>
      </w:r>
    </w:p>
    <w:p>
      <w:pPr>
        <w:spacing w:after="0" w:line="21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in fiscal 2003 were $379.4 million compared to $335.1 million for fiscal 2002. Excluding the expensing of stock-based compensation, infrastructure investment in the Scotts LawnService® and restructuring and other charges, the Company’s SG&amp;A expenses increased $22.5 million, or 7.6%, compared to 2002. This increase is primarily due to investments to support our expansion into adjacent categories and channels, investments to expand the functionality and capability of our business development offices at our largest retailers, and foreign exchange fluctuations. SG&amp;A expenses for Scotts LawnService® increased 50% from $30.8 million in fiscal 2002 to $46.2 million in fiscal 2003, primarily due to growth in the branch service network, supporting our plan to rapidly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9" w:name="page30"/>
    <w:bookmarkEnd w:id="29"/>
    <w:p>
      <w:pPr>
        <w:ind w:right="120"/>
        <w:spacing w:after="0" w:line="275" w:lineRule="auto"/>
        <w:rPr>
          <w:sz w:val="20"/>
          <w:szCs w:val="20"/>
          <w:color w:val="auto"/>
        </w:rPr>
      </w:pPr>
      <w:r>
        <w:rPr>
          <w:rFonts w:ascii="Times New Roman" w:cs="Times New Roman" w:eastAsia="Times New Roman" w:hAnsi="Times New Roman"/>
          <w:sz w:val="18"/>
          <w:szCs w:val="18"/>
          <w:color w:val="auto"/>
        </w:rPr>
        <w:t>expand to a national platform. SG&amp;A restructuring and other expenses increased from $6.4 million in fiscal 2002 to $8.0 million in fiscal 2003, primarily related to the implementation of the International Profit Improvement Plan.</w:t>
      </w:r>
    </w:p>
    <w:p>
      <w:pPr>
        <w:spacing w:after="0" w:line="201" w:lineRule="exact"/>
        <w:rPr>
          <w:sz w:val="20"/>
          <w:szCs w:val="20"/>
          <w:color w:val="auto"/>
        </w:rPr>
      </w:pPr>
    </w:p>
    <w:p>
      <w:pPr>
        <w:ind w:right="480" w:firstLine="324"/>
        <w:spacing w:after="0" w:line="275" w:lineRule="auto"/>
        <w:rPr>
          <w:sz w:val="20"/>
          <w:szCs w:val="20"/>
          <w:color w:val="auto"/>
        </w:rPr>
      </w:pPr>
      <w:r>
        <w:rPr>
          <w:rFonts w:ascii="Times New Roman" w:cs="Times New Roman" w:eastAsia="Times New Roman" w:hAnsi="Times New Roman"/>
          <w:sz w:val="18"/>
          <w:szCs w:val="18"/>
          <w:color w:val="auto"/>
        </w:rPr>
        <w:t>Amortization of intangibles increased from $5.7 million in fiscal 2002 to $8.6 million in fiscal 2003, primarily due to foreign currency fluctuations and higher expenses related to the amortization of certain intangibles, primarily related to customer lists acquired by Scotts LawnService®.</w:t>
      </w:r>
    </w:p>
    <w:p>
      <w:pPr>
        <w:spacing w:after="0" w:line="201" w:lineRule="exact"/>
        <w:rPr>
          <w:sz w:val="20"/>
          <w:szCs w:val="20"/>
          <w:color w:val="auto"/>
        </w:rPr>
      </w:pPr>
    </w:p>
    <w:p>
      <w:pPr>
        <w:ind w:right="380" w:firstLine="324"/>
        <w:spacing w:after="0" w:line="262" w:lineRule="auto"/>
        <w:rPr>
          <w:sz w:val="20"/>
          <w:szCs w:val="20"/>
          <w:color w:val="auto"/>
        </w:rPr>
      </w:pPr>
      <w:r>
        <w:rPr>
          <w:rFonts w:ascii="Times New Roman" w:cs="Times New Roman" w:eastAsia="Times New Roman" w:hAnsi="Times New Roman"/>
          <w:sz w:val="18"/>
          <w:szCs w:val="18"/>
          <w:color w:val="auto"/>
        </w:rPr>
        <w:t>Other income, net was $10.8 million in fiscal 2003, compared to $12.0 million in fiscal 2002. The Company realized a net reduction of approximately $4 million from an agreement to cease peat extraction in the United Kingdom. Increased Scotts LawnService® franchise fees and royalty income recorded in fiscal 2003 partially off-set the reduction related to peat extraction.</w:t>
      </w:r>
    </w:p>
    <w:p>
      <w:pPr>
        <w:spacing w:after="0" w:line="213" w:lineRule="exact"/>
        <w:rPr>
          <w:sz w:val="20"/>
          <w:szCs w:val="20"/>
          <w:color w:val="auto"/>
        </w:rPr>
      </w:pPr>
    </w:p>
    <w:p>
      <w:pPr>
        <w:jc w:val="both"/>
        <w:ind w:right="460" w:firstLine="324"/>
        <w:spacing w:after="0" w:line="310" w:lineRule="auto"/>
        <w:rPr>
          <w:sz w:val="20"/>
          <w:szCs w:val="20"/>
          <w:color w:val="auto"/>
        </w:rPr>
      </w:pPr>
      <w:r>
        <w:rPr>
          <w:rFonts w:ascii="Times New Roman" w:cs="Times New Roman" w:eastAsia="Times New Roman" w:hAnsi="Times New Roman"/>
          <w:sz w:val="16"/>
          <w:szCs w:val="16"/>
          <w:color w:val="auto"/>
        </w:rPr>
        <w:t>Income from operations in fiscal 2003 was $231.6 million, compared to $238.4 million in fiscal 2002. This decrease in income from operations reflects higher net sales and gross profit, offset by greater investments in media advertising and higher SG&amp;A expenses, higher restructuring spending in Europe (to support our International Profit Improvement Plan) and the adoption of an accounting change to expense stock-based compensation awards.</w:t>
      </w:r>
    </w:p>
    <w:p>
      <w:pPr>
        <w:spacing w:after="0" w:line="17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segment reporting purposes, earnings before interest, taxes and amortization is used as the measure for operating income. On that basis, operating income in the North America segment increased from $277.2 million in fiscal 2002 to $282.8 million in fiscal 2003, on an increase in net sales from $1,311.9 million in fiscal 2002 to $1,388.9 million in fiscal 2003. Higher sales volume (primarily in the Lawns business) and favorable volume-related manufacturing cost absorption were largely offset by a decrease in gross profit margin as a percentage of net sales (due to product mix and increased urea and warehousing costs), and higher media and SG&amp;A expenses.</w:t>
      </w:r>
    </w:p>
    <w:p>
      <w:pPr>
        <w:spacing w:after="0" w:line="220"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Scotts LawnService® operating income decreased from $8.8 million in fiscal 2002 to $6.2 million in fiscal 2003 due to planned infrastructure investments and higher field labor and truck costs, largely the result of poor spring weather that delayed the start of the spring treatment season. These higher costs more than offset increased margin resulting from higher net sales, which were driven by geographic expansion and acquisitions.</w:t>
      </w:r>
    </w:p>
    <w:p>
      <w:pPr>
        <w:spacing w:after="0" w:line="213"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color w:val="auto"/>
        </w:rPr>
        <w:t>International operating income was $23.9 million in fiscal 2003, compared to $25.3 million in fiscal 2002. The decrease in fiscal 2003 operating income is largely due to planned restructuring expenses, as outlined in the Company’s International Profit Improvement Plan, and a non-recurring peat transaction gain recognized in fiscal 2002. Foreign currency fluctuations also favorably impacted operating income.</w:t>
      </w:r>
    </w:p>
    <w:p>
      <w:pPr>
        <w:spacing w:after="0" w:line="213"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Interest expense decreased from $76.3 million in fiscal 2002 to $69.2 million in fiscal 2003. The decrease in interest expense was primarily due to debt repayments and strong operating cash flow, which resulted in lower average borrowing levels as compared to the prior year, and lower interest rates on our credit revolver and variable rate term loans. The weighted average cost of debt was 7.42% in fiscal 2003 compared to 8.30% in fiscal 2002.</w:t>
      </w:r>
    </w:p>
    <w:p>
      <w:pPr>
        <w:spacing w:after="0" w:line="213"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Income tax expense for fiscal 2003 was $59.2 million, compared to $61.6 million in fiscal 2002. This decrease in income tax expense as compared to the prior year primarily was the result of a reduction in the Company’s effective tax rate from 38.0% in 2002 to 36.4% in 2003, due to an adjustment of state deferred income taxes resulting from a detailed review of state effective tax rates, and increased utilization of foreign tax credits in fiscal 2003.</w:t>
      </w:r>
    </w:p>
    <w:p>
      <w:pPr>
        <w:spacing w:after="0" w:line="21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reported net income from continuing operations of $103.2 million for fiscal 2003, compared to $100.5 million in fiscal 2002. Results of operations for both fiscal 2003 and 2002 were adjusted to display the results of the Company’s professional growing media business as discontinued operations due to the disposal of that business at the end of fiscal 2004. A charge of $29.8 million ($18.5 million, net of tax) for the impairment of trade names in our German, French and United Kingdom businesses was taken in fiscal 2002 as a result of the adoption of Statement of Financial Accounting Standards No. 142, “Goodwill and Other Intangible Assets”. Net income for fiscal 2002 was $82.5 million, or $2.61 per diluted share, compared to net income of $103.8 million, or $3.23 per diluted share, in fiscal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420" w:firstLine="324"/>
        <w:spacing w:after="0" w:line="275" w:lineRule="auto"/>
        <w:rPr>
          <w:sz w:val="20"/>
          <w:szCs w:val="20"/>
          <w:color w:val="auto"/>
        </w:rPr>
      </w:pPr>
      <w:r>
        <w:rPr>
          <w:rFonts w:ascii="Times New Roman" w:cs="Times New Roman" w:eastAsia="Times New Roman" w:hAnsi="Times New Roman"/>
          <w:sz w:val="18"/>
          <w:szCs w:val="18"/>
          <w:color w:val="auto"/>
        </w:rPr>
        <w:t>Average diluted shares outstanding increased from 31.7 million in fiscal 2002 to 32.1 million in fiscal 2003, due to option and warrant exercises and the impact on common stock equivalents of a higher average share price in fiscal 2003 compared to fiscal 2002.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right="200" w:firstLine="270"/>
        <w:spacing w:after="0" w:line="254" w:lineRule="auto"/>
        <w:rPr>
          <w:sz w:val="20"/>
          <w:szCs w:val="20"/>
          <w:color w:val="auto"/>
        </w:rPr>
      </w:pPr>
      <w:r>
        <w:rPr>
          <w:rFonts w:ascii="Times New Roman" w:cs="Times New Roman" w:eastAsia="Times New Roman" w:hAnsi="Times New Roman"/>
          <w:sz w:val="18"/>
          <w:szCs w:val="18"/>
          <w:color w:val="auto"/>
        </w:rPr>
        <w:t>Net cash provided from operating activities was $214.2 million for fiscal 2004, compared to $216.1 million for fiscal 2003. This strong cash flow performance was fueled by increased profitability (excluding the non-cash costs related to the refinancing of our credit facility and redemption of our 8 5/8% Senior Subordinated Notes) and higher payroll and miscellaneous accrued liabilities. Despite a strong 8% growth in top line sales, accounts receivable and inventory levels increased only modestly over the prior year. Net cash provided from operating activities in fiscal 2003 benefited from a reduction in taxes paid due to a change in the tax treatment of costs related to trade programs from a cash to accrual basis. This one-time cash flow benefit did not repeat itself in fiscal 2004. Net cash provided from operating activities reached record levels in fiscal 2002 due largely to a one-time reduction in inventories and other cash flow initiatives.</w:t>
      </w:r>
    </w:p>
    <w:p>
      <w:pPr>
        <w:spacing w:after="0" w:line="22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as the spring selling season begins. These balances liquidate during the June through September period as the lawn and garden season unwinds. Unlike our core retail business, Scotts LawnService® typically has its highest receivables balances in the September quarter because of the seasonal timing of customer applications and extra services revenues, which are strongest in the fourth fiscal quarter of the year.</w:t>
      </w:r>
    </w:p>
    <w:p>
      <w:pPr>
        <w:spacing w:after="0" w:line="22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$112.8 million in fiscal 2004 compared to $108.9 million in fiscal 2003. While reported net cash used in investing activities was essentially unchanged versus prior year, cash requirements actually decreased by $53.3 million in fiscal 2004, excluding the impact of investments in adjustable rate notes (“Notes”) which were made in lieu of investing excess cash in overnight funds. These Notes, which the Company believes are essentially equivalent to cash, have been accounted for as “available for sale securities” in accordance with Financial Accounting Standards No. 115, “Accounting for Certain Investments in Debt and Equity Securities.” The Notes, which were redeemed and converted into cash on October 1, 2004, permitted the Company to put the Notes back to a remarketing agent at any time at 100% of par value and were secured by an irrevocable, direct pay letter of credit. Proceeds from the Notes were used to partially fund the acquisition of Smith and Hawken®.</w:t>
      </w:r>
    </w:p>
    <w:p>
      <w:pPr>
        <w:spacing w:after="0" w:line="2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Reduced capital expenditures were responsible for $16.7 million of the decrease in cash requirements between the periods, as fewer significant capital projects were undertaken in fiscal 2004. We anticipate capital expenditures to be somewhat higher in fiscal 2005, likely in the range of $50 million, consistent with historical trends and approved spending levels. In fiscal 2003, major capital investments were made in the information systems area (principally supply chain related) and the Company completed a significant capacity expansion project at its Charleston, South Carolina professional fertilizer plant to support the consolidation of production from another manufacturing facility that was subsequently closed. Principal payments due on seller notes issued in conjunction with prior Scotts LawnService® acquisitions were $12.3 million in fiscal 2004 compared to $36.7 million in fiscal 2003. This reduction in payments on seller notes was directly attributable to fewer acquisitions being completed during the second half of fiscal 2003 and throughout fiscal 2004.</w:t>
      </w:r>
    </w:p>
    <w:p>
      <w:pPr>
        <w:spacing w:after="0" w:line="22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Financing activities used cash of $133.0 million in fiscal 2004, compared to a cash usage of $59.0 million the prior year. During the first quarter of fiscal 2004, we restructured our borrowing arrangements through the refinancing of our former Credit Agreement and the redemption of our 8 5/8% Senior Subordinated Notes, which were replaced by the issuance of our 6 5/8% Senior Subordinated Notes. On October 22, 2003, the Company consummated a series of transactions which included the repayment of the term loans outstanding under the former Credit Agreement, the termination of the Credit Agreement, the execution of the Second Amended and Restated Credit Agreement (“New Credit Agreement”), and the borrowing of $500 million in the form of term loans under the New Credit Agreement. On June 24, 2004, the Company repaid $100 million of the $499 million term loans then outstanding under the New Credit Agreement. On August 13, 2004, the Company refinanced its existing term loan facility with a new term loan facility (“New Term Loans”) consisting of a $250 million Tranche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1" w:name="page32"/>
    <w:bookmarkEnd w:id="31"/>
    <w:p>
      <w:pPr>
        <w:ind w:right="220"/>
        <w:spacing w:after="0" w:line="258" w:lineRule="auto"/>
        <w:rPr>
          <w:sz w:val="20"/>
          <w:szCs w:val="20"/>
          <w:color w:val="auto"/>
        </w:rPr>
      </w:pPr>
      <w:r>
        <w:rPr>
          <w:rFonts w:ascii="Times New Roman" w:cs="Times New Roman" w:eastAsia="Times New Roman" w:hAnsi="Times New Roman"/>
          <w:sz w:val="18"/>
          <w:szCs w:val="18"/>
          <w:color w:val="auto"/>
        </w:rPr>
        <w:t>Loan and a $150 million Tranche B Loan. The New Term Loans carry a variable interest rate based on prime or LIBOR at the Company’s option (currently LIBOR) plus a spread which is approximately 66 basis points lower than we were required to pay under the terms of the former Term Loan Facility. For further details concerning the refinancing of our former Credit Agreement and redemption of our 8 5/8% Senior Subordinated Notes, please see Note 9 to the Consolidated Financial Statements.</w:t>
      </w:r>
    </w:p>
    <w:p>
      <w:pPr>
        <w:spacing w:after="0" w:line="21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New Credit Agreement. The New Credit Agreement consists of a $700 million multi-currency revolving credit commitment and a term loan facility that was initially $500 million subsequently reduced as a result of a voluntary $100 million prepayment on June 24, 2004. Note 9 to the Consolidated Financial Statements provides additional information pertaining to the refinancing of our former Credit Agreement, the establishment of our New Credit Agreement (including a description of financial covenants and cross-default provisions) the redemption of our 8 5/8% Senior Subordinated Notes, the issuance of our 6 5/8% Senior Subordinated Notes and New Term Loans. At September 30, 2004, we were in compliance with our debt covenants.</w:t>
      </w:r>
    </w:p>
    <w:p>
      <w:pPr>
        <w:spacing w:after="0" w:line="22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Total cash and cash equivalents were $115.6 million at September 30, 2004, a decrease of $40.3 million from September 30, 2003. We elected not to use cash on hand at September 30, 2004 and September 30, 2003 to pay down indebtedness since voluntary repayments permanently reduce the total borrowing commitments under the terms of the credit facility. Under the terms of the former Credit Agreement, a mandatory excess cash flow prepayment of $24.4 million was made in early fiscal 2003 based on fiscal 2002’s results of operations and cash flow. While this mandatory excess cash flow prepayment requirement was also in effect during fiscal 2004, we were not required to fund this payment since the Company’s leverage ratios were well below levels triggering a mandatory prepayment.</w:t>
      </w:r>
    </w:p>
    <w:p>
      <w:pPr>
        <w:spacing w:after="0" w:line="220" w:lineRule="exact"/>
        <w:rPr>
          <w:sz w:val="20"/>
          <w:szCs w:val="20"/>
          <w:color w:val="auto"/>
        </w:rPr>
      </w:pPr>
    </w:p>
    <w:p>
      <w:pPr>
        <w:jc w:val="both"/>
        <w:ind w:right="260" w:firstLine="324"/>
        <w:spacing w:after="0" w:line="287" w:lineRule="auto"/>
        <w:rPr>
          <w:sz w:val="20"/>
          <w:szCs w:val="20"/>
          <w:color w:val="auto"/>
        </w:rPr>
      </w:pPr>
      <w:r>
        <w:rPr>
          <w:rFonts w:ascii="Times New Roman" w:cs="Times New Roman" w:eastAsia="Times New Roman" w:hAnsi="Times New Roman"/>
          <w:sz w:val="16"/>
          <w:szCs w:val="16"/>
          <w:color w:val="auto"/>
        </w:rPr>
        <w:t>Our year-end cash effectively serves to reduce our average indebtedness by reducing seasonal borrowings made under our revolving credit facility to fund seasonal working capital needs. We have not paid dividends on our common shares in the past. However, given our rapidly improving financial condition and levels of cash generated by the business, we are currently evaluating various capital structure strategies and the use of capital for cash generated in the future.</w:t>
      </w:r>
    </w:p>
    <w:p>
      <w:pPr>
        <w:spacing w:after="0" w:line="1" w:lineRule="exact"/>
        <w:rPr>
          <w:sz w:val="20"/>
          <w:szCs w:val="20"/>
          <w:color w:val="auto"/>
        </w:rPr>
      </w:pPr>
    </w:p>
    <w:p>
      <w:pPr>
        <w:ind w:right="140"/>
        <w:spacing w:after="0" w:line="323" w:lineRule="auto"/>
        <w:rPr>
          <w:sz w:val="20"/>
          <w:szCs w:val="20"/>
          <w:color w:val="auto"/>
        </w:rPr>
      </w:pPr>
      <w:r>
        <w:rPr>
          <w:rFonts w:ascii="Times New Roman" w:cs="Times New Roman" w:eastAsia="Times New Roman" w:hAnsi="Times New Roman"/>
          <w:sz w:val="16"/>
          <w:szCs w:val="16"/>
          <w:color w:val="auto"/>
        </w:rPr>
        <w:t>These uses may include continued debt repayment, funding of selective acquisitions to support future growth, payment of dividends and share repurchases. On October 2, 2004, Scotts acquired all outstanding shares of Smith &amp; Hawken® for a total cost of $74.9 million including prepayment of existing debt obligations.</w:t>
      </w:r>
    </w:p>
    <w:p>
      <w:pPr>
        <w:spacing w:after="0" w:line="168"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color w:val="auto"/>
        </w:rPr>
        <w:t>The payment of future dividends and share repurchases, if any, will be determined by our Board of Directors in light of conditions then existing, including our earnings, financial condition, capital requirements, restrictions in financing agreements, business conditions and other factors. We did not repurchase any treasury shares in fiscal 2004 or 2003.</w:t>
      </w:r>
    </w:p>
    <w:p>
      <w:pPr>
        <w:spacing w:after="0" w:line="21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funded status of our pension plans improved $11.5 million in fiscal 2004 due to $15.8 million in employer contributions and better than anticipated investment returns on the plans assets, which together more than offset higher benefit obligations, required benefit payments and the impact of foreign currency translation on our International plans. The unfunded status of our curtailed defined benefit plans in the United States decreased from a deficit of $29.5 million at September 30, 2003 to a deficit of $22.5 million at September 30, 2004. Our International plans’ deficit was reduced from $55.4 million in fiscal 2003 to $50.9 million in fiscal 2004. Employer contributions to the plans in fiscal 2005 are not expected to increase versus 2004.</w:t>
      </w:r>
    </w:p>
    <w:p>
      <w:pPr>
        <w:spacing w:after="0" w:line="220"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Company’s off-balance sheet financing arrangements are in the form of operating leases that are disclosed in the Notes to the Consolidated Financial Statements. As of September 30, 2004, we had $13.2 million of outstanding guarantees, primarily related to deferred purchase obligations on Scotts LawnService® acquisitions. During the second quarter of fiscal 2004, we took final delivery on a used aircraft under the terms of a synthetic operating lease agreement as disclosed in Note 14 to the Consolidated Financial Statements.</w:t>
      </w:r>
    </w:p>
    <w:p>
      <w:pPr>
        <w:spacing w:after="0" w:line="21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ind w:right="420"/>
        <w:spacing w:after="0" w:line="275" w:lineRule="auto"/>
        <w:rPr>
          <w:sz w:val="20"/>
          <w:szCs w:val="20"/>
          <w:color w:val="auto"/>
        </w:rPr>
      </w:pPr>
      <w:r>
        <w:rPr>
          <w:rFonts w:ascii="Times New Roman" w:cs="Times New Roman" w:eastAsia="Times New Roman" w:hAnsi="Times New Roman"/>
          <w:sz w:val="18"/>
          <w:szCs w:val="18"/>
          <w:color w:val="auto"/>
        </w:rPr>
        <w:t>reserves. We do not believe that any liabilities that may result from these proceedings are reasonably likely to have a material adverse effect on our liquidity, financial condition or results of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future cash outflows for contractual obligations as of September 30, 2004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More than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Contractual Cash Obligations</w:t>
            </w:r>
          </w:p>
        </w:tc>
        <w:tc>
          <w:tcPr>
            <w:tcW w:w="3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9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600" w:type="dxa"/>
            <w:vAlign w:val="bottom"/>
          </w:tcPr>
          <w:p>
            <w:pPr>
              <w:spacing w:after="0"/>
              <w:rPr>
                <w:sz w:val="15"/>
                <w:szCs w:val="15"/>
                <w:color w:val="auto"/>
              </w:rPr>
            </w:pPr>
          </w:p>
        </w:tc>
        <w:tc>
          <w:tcPr>
            <w:tcW w:w="9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56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3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7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6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Smith &amp; Hawken® acquisition</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Annual contribution payment under Roundup®</w:t>
            </w:r>
          </w:p>
        </w:tc>
        <w:tc>
          <w:tcPr>
            <w:tcW w:w="38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marketing agreement</w:t>
            </w:r>
          </w:p>
        </w:tc>
        <w:tc>
          <w:tcPr>
            <w:tcW w:w="38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4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78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60" w:type="dxa"/>
            <w:vAlign w:val="bottom"/>
            <w:shd w:val="clear" w:color="auto" w:fill="EEEEEE"/>
          </w:tcPr>
          <w:p>
            <w:pPr>
              <w:spacing w:after="0"/>
              <w:rPr>
                <w:sz w:val="20"/>
                <w:szCs w:val="20"/>
                <w:color w:val="auto"/>
              </w:rPr>
            </w:pPr>
          </w:p>
        </w:tc>
        <w:tc>
          <w:tcPr>
            <w:tcW w:w="10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62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1,283.6</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221.1</w:t>
            </w:r>
          </w:p>
        </w:tc>
        <w:tc>
          <w:tcPr>
            <w:tcW w:w="7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163.3</w:t>
            </w:r>
          </w:p>
        </w:tc>
        <w:tc>
          <w:tcPr>
            <w:tcW w:w="4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5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our opinion, cash flows from operations and capital resources will be sufficient to meet debt service and working capital needs during fiscal 2004,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4" w:lineRule="exact"/>
        <w:rPr>
          <w:sz w:val="20"/>
          <w:szCs w:val="20"/>
          <w:color w:val="auto"/>
        </w:rPr>
      </w:pPr>
    </w:p>
    <w:p>
      <w:pPr>
        <w:ind w:right="20" w:firstLine="270"/>
        <w:spacing w:after="0" w:line="290" w:lineRule="auto"/>
        <w:rPr>
          <w:sz w:val="20"/>
          <w:szCs w:val="20"/>
          <w:color w:val="auto"/>
        </w:rPr>
      </w:pPr>
      <w:r>
        <w:rPr>
          <w:rFonts w:ascii="Times New Roman" w:cs="Times New Roman" w:eastAsia="Times New Roman" w:hAnsi="Times New Roman"/>
          <w:sz w:val="16"/>
          <w:szCs w:val="16"/>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results of operations, financial condition or cash flows of the Company. Additional information on environmental matters affecting us is provided in “ITEM 1. BUSINESS — Environmental and Regulatory Considerations,” “ITEM 1. BUSINESS — Regulatory Actions” and “ITEM 3. LEGAL PROCEEDINGS.”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Outlook</w:t>
      </w:r>
    </w:p>
    <w:p>
      <w:pPr>
        <w:spacing w:after="0" w:line="254" w:lineRule="exact"/>
        <w:rPr>
          <w:sz w:val="20"/>
          <w:szCs w:val="20"/>
          <w:color w:val="auto"/>
        </w:rPr>
      </w:pPr>
    </w:p>
    <w:p>
      <w:pPr>
        <w:ind w:right="80" w:firstLine="270"/>
        <w:spacing w:after="0" w:line="258" w:lineRule="auto"/>
        <w:rPr>
          <w:sz w:val="20"/>
          <w:szCs w:val="20"/>
          <w:color w:val="auto"/>
        </w:rPr>
      </w:pPr>
      <w:r>
        <w:rPr>
          <w:rFonts w:ascii="Times New Roman" w:cs="Times New Roman" w:eastAsia="Times New Roman" w:hAnsi="Times New Roman"/>
          <w:sz w:val="18"/>
          <w:szCs w:val="18"/>
          <w:color w:val="auto"/>
        </w:rPr>
        <w:t>We are very pleased with the Company’s performance in fiscal 2004. Despite upward pressure on commodity raw material costs, execution issues and poor spring weather conditions in Europe, the Company delivered record net sales and income from operations for the year. Our sales results were driven by strong point of sales growth in our North America business, particularly lawn fertilizer and control products and continued rapid expansion of our Scotts LawnService® business.</w:t>
      </w:r>
    </w:p>
    <w:p>
      <w:pPr>
        <w:spacing w:after="0" w:line="2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set challenging growth targets for fiscal 2004, including aggressive sales growth and share gains within the North American consumer lawn and garden categories. We also undertook a significant Enterprise Resource Planning (“ERP”) project in our major European countries with installations in the United Kingdom and France, which followed installations in Germany and Austria the year before. We also continued to strive to improve customer service levels throughout the core consumer retail business and in Scotts LawnService®. We were successful at strengthening our relationships with key accounts by continuing to improve in-season execution and moving to “just in time” replenishment of store inventory levels. As a result, order fill levels reached all time highs in our North American business. Similarly, we made significant strides to improve customer service throughout Scotts LawnService® by restructuring field incentives to focus more on customer retention and by spending more time and money training technicians pre and in-season on customer service. Our consumer businesses in the United Kingdom and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120"/>
        <w:spacing w:after="0" w:line="262" w:lineRule="auto"/>
        <w:rPr>
          <w:sz w:val="20"/>
          <w:szCs w:val="20"/>
          <w:color w:val="auto"/>
        </w:rPr>
      </w:pPr>
      <w:r>
        <w:rPr>
          <w:rFonts w:ascii="Times New Roman" w:cs="Times New Roman" w:eastAsia="Times New Roman" w:hAnsi="Times New Roman"/>
          <w:sz w:val="18"/>
          <w:szCs w:val="18"/>
          <w:color w:val="auto"/>
        </w:rPr>
        <w:t>experienced challenges in converting their existing “Legacy” systems to SAP while also implementing aggressive supply chain rationalization plans. As a result, these businesses experienced some product availability shortages, particularly early in the season, and manufacturing cost overruns which we do not expect to repeat in fiscal 2005.</w:t>
      </w:r>
    </w:p>
    <w:p>
      <w:pPr>
        <w:spacing w:after="0" w:line="21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strong results in fiscal 2004 set the stage for another successful year in 2005. We are committed to improving the results of our International business and have aggressively addressed the supply chain challenges we faced in fiscal 2004. Our focus is to improve gross profit margins in each business segment by continuing to improve product mix and strengthening our Global Supply Chain organization while aggressively seeking cost reduction initiatives throughout the purchasing, logistics and manufacturing areas. We will continue to invest aggressively in media advertising, marketing research and in-store merchandising programs to drive category growth and margin expansion. Our strategy is also to continue to develop new distribution channels and to leverage our strong brands to enter profitable adjacent product categories. We will also further expand our research and development activities and expect to introduce several new value-added products that will provide new features and benefits to consumers while improving both retailer and Company margins.</w:t>
      </w:r>
    </w:p>
    <w:p>
      <w:pPr>
        <w:spacing w:after="0" w:line="222" w:lineRule="exact"/>
        <w:rPr>
          <w:sz w:val="20"/>
          <w:szCs w:val="20"/>
          <w:color w:val="auto"/>
        </w:rPr>
      </w:pPr>
    </w:p>
    <w:p>
      <w:pPr>
        <w:ind w:right="700" w:firstLine="324"/>
        <w:spacing w:after="0" w:line="275" w:lineRule="auto"/>
        <w:rPr>
          <w:sz w:val="20"/>
          <w:szCs w:val="20"/>
          <w:color w:val="auto"/>
        </w:rPr>
      </w:pPr>
      <w:r>
        <w:rPr>
          <w:rFonts w:ascii="Times New Roman" w:cs="Times New Roman" w:eastAsia="Times New Roman" w:hAnsi="Times New Roman"/>
          <w:sz w:val="18"/>
          <w:szCs w:val="18"/>
          <w:color w:val="auto"/>
        </w:rPr>
        <w:t>We believe fiscal 2005 will be another year of profitable growth, with continued focus on improving return on invested capital and strong cash flow generation a priority.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4" w:lineRule="exact"/>
        <w:rPr>
          <w:sz w:val="20"/>
          <w:szCs w:val="20"/>
          <w:color w:val="auto"/>
        </w:rPr>
      </w:pPr>
    </w:p>
    <w:p>
      <w:pPr>
        <w:ind w:right="60" w:firstLine="270"/>
        <w:spacing w:after="0" w:line="256" w:lineRule="auto"/>
        <w:rPr>
          <w:sz w:val="20"/>
          <w:szCs w:val="20"/>
          <w:color w:val="auto"/>
        </w:rPr>
      </w:pPr>
      <w:r>
        <w:rPr>
          <w:rFonts w:ascii="Times New Roman" w:cs="Times New Roman" w:eastAsia="Times New Roman" w:hAnsi="Times New Roman"/>
          <w:sz w:val="18"/>
          <w:szCs w:val="18"/>
          <w:color w:val="auto"/>
        </w:rPr>
        <w:t>We have made and will make “forward-looking statements” within the meaning of Section 27A of the Securities Act of 1933 and Section 21E of the Securities Exchange Act of 1934 in our 2004 Annual Report, in this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2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21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Some forward-looking statements that we make in our 2004 Annual Report, in this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90" w:lineRule="exact"/>
        <w:rPr>
          <w:sz w:val="20"/>
          <w:szCs w:val="20"/>
          <w:color w:val="auto"/>
        </w:rPr>
      </w:pPr>
    </w:p>
    <w:p>
      <w:pPr>
        <w:ind w:left="460" w:right="320" w:hanging="101"/>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HEALTH AND PREVENT US FROM FULFILLING OUR OBLIGATIONS.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a significant amount of debt. Our substantial indebtedness could have important consequences. For example, it could:</w:t>
      </w:r>
    </w:p>
    <w:p>
      <w:pPr>
        <w:spacing w:after="0" w:line="252" w:lineRule="exact"/>
        <w:rPr>
          <w:sz w:val="20"/>
          <w:szCs w:val="20"/>
          <w:color w:val="auto"/>
        </w:rPr>
      </w:pPr>
    </w:p>
    <w:p>
      <w:pPr>
        <w:ind w:left="820" w:hanging="12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outstanding indebtedness and otherwise;</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79" w:lineRule="exact"/>
        <w:rPr>
          <w:rFonts w:ascii="Times New Roman" w:cs="Times New Roman" w:eastAsia="Times New Roman" w:hAnsi="Times New Roman"/>
          <w:sz w:val="18"/>
          <w:szCs w:val="18"/>
          <w:color w:val="auto"/>
        </w:rPr>
      </w:pPr>
    </w:p>
    <w:p>
      <w:pPr>
        <w:ind w:left="820" w:right="80" w:hanging="123"/>
        <w:spacing w:after="0" w:line="339" w:lineRule="auto"/>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55" w:lineRule="exact"/>
        <w:rPr>
          <w:rFonts w:ascii="Times New Roman" w:cs="Times New Roman" w:eastAsia="Times New Roman" w:hAnsi="Times New Roman"/>
          <w:sz w:val="16"/>
          <w:szCs w:val="16"/>
          <w:color w:val="auto"/>
        </w:rPr>
      </w:pPr>
    </w:p>
    <w:p>
      <w:pPr>
        <w:ind w:left="820" w:hanging="12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169545</wp:posOffset>
            </wp:positionV>
            <wp:extent cx="386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ind w:left="461" w:right="280" w:hanging="123"/>
        <w:spacing w:after="0" w:line="275" w:lineRule="auto"/>
        <w:tabs>
          <w:tab w:leader="none" w:pos="4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174" w:lineRule="exact"/>
        <w:rPr>
          <w:sz w:val="20"/>
          <w:szCs w:val="20"/>
          <w:color w:val="auto"/>
        </w:rPr>
      </w:pPr>
    </w:p>
    <w:p>
      <w:pPr>
        <w:ind w:left="221"/>
        <w:spacing w:after="0" w:line="262"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213" w:lineRule="exact"/>
        <w:rPr>
          <w:sz w:val="20"/>
          <w:szCs w:val="20"/>
          <w:color w:val="auto"/>
        </w:rPr>
      </w:pPr>
    </w:p>
    <w:p>
      <w:pPr>
        <w:ind w:left="221" w:right="20"/>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business will generate sufficient cash flow from operating activities or that future borrowings will be available to us under our New Credit Agreement in amounts sufficient to enable us to pay our indebtedness or to fund our other liquidity needs. We may need to refinance all or a portion of our indebtedness, on or before maturity. We cannot assure you that we would be able to refinance any of our indebtedness on commercially reasonable terms or at all.</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 RESTRICTIVE COVENANTS MAY ADVERSELY AFFECT US.</w:t>
      </w:r>
    </w:p>
    <w:p>
      <w:pPr>
        <w:spacing w:after="0" w:line="252" w:lineRule="exact"/>
        <w:rPr>
          <w:sz w:val="20"/>
          <w:szCs w:val="20"/>
          <w:color w:val="auto"/>
        </w:rPr>
      </w:pPr>
    </w:p>
    <w:p>
      <w:pPr>
        <w:ind w:left="221" w:right="60"/>
        <w:spacing w:after="0" w:line="254" w:lineRule="auto"/>
        <w:rPr>
          <w:sz w:val="20"/>
          <w:szCs w:val="20"/>
          <w:color w:val="auto"/>
        </w:rPr>
      </w:pPr>
      <w:r>
        <w:rPr>
          <w:rFonts w:ascii="Times New Roman" w:cs="Times New Roman" w:eastAsia="Times New Roman" w:hAnsi="Times New Roman"/>
          <w:sz w:val="18"/>
          <w:szCs w:val="18"/>
          <w:color w:val="auto"/>
        </w:rPr>
        <w:t>The New Credit Agreement and the indenture governing our 6 5/8% Senior Subordinated Notes (the “New Indenture”) contain restrictive covenants and cross default provisions that require us to maintain specified financial ratios. Our ability to satisfy those financial ratios can be affected by events beyond our control, and we cannot assure you that we will satisfy those ratios. A breach of any of these financial ratio covenants or other covenants in the New Credit Agreement or the New Indenture could result in a default under the New Credit Agreement and/or the New Indenture. Upon the occurrence of an event of default under the New Credit Agreement and/or the New Indenture, the lenders and/or noteholders could elect to declare the applicable outstanding indebtedness to be immediately due and payable and, in the case of our lenders under the New Credit Agreement, terminate all commitments to extend further credit. We cannot be sure that our lenders or the noteholders would waive a default or that we could pay the indebtedness in full if it were accelerated.</w:t>
      </w:r>
    </w:p>
    <w:p>
      <w:pPr>
        <w:spacing w:after="0" w:line="1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 ADVERSE WEATHER CONDITIONS COULD ADVERSELY IMPACT FINANCIAL RESULTS.</w:t>
      </w:r>
    </w:p>
    <w:p>
      <w:pPr>
        <w:spacing w:after="0" w:line="252" w:lineRule="exact"/>
        <w:rPr>
          <w:sz w:val="20"/>
          <w:szCs w:val="20"/>
          <w:color w:val="auto"/>
        </w:rPr>
      </w:pPr>
    </w:p>
    <w:p>
      <w:pPr>
        <w:ind w:left="221" w:right="20"/>
        <w:spacing w:after="0" w:line="262" w:lineRule="auto"/>
        <w:rPr>
          <w:sz w:val="20"/>
          <w:szCs w:val="20"/>
          <w:color w:val="auto"/>
        </w:rPr>
      </w:pPr>
      <w:r>
        <w:rPr>
          <w:rFonts w:ascii="Times New Roman" w:cs="Times New Roman" w:eastAsia="Times New Roman" w:hAnsi="Times New Roman"/>
          <w:sz w:val="18"/>
          <w:szCs w:val="18"/>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186" w:lineRule="exact"/>
        <w:rPr>
          <w:sz w:val="20"/>
          <w:szCs w:val="20"/>
          <w:color w:val="auto"/>
        </w:rPr>
      </w:pPr>
    </w:p>
    <w:p>
      <w:pPr>
        <w:ind w:left="101" w:right="400" w:hanging="101"/>
        <w:spacing w:after="0" w:line="275" w:lineRule="auto"/>
        <w:tabs>
          <w:tab w:leader="none" w:pos="1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SEASONALITY COULD IMPAIR OUR ABILITY TO PAY OBLIGATIONS AS THEY COME DUE IN ADDITION TO OUR OPERATING EXPENSES.</w:t>
      </w:r>
    </w:p>
    <w:p>
      <w:pPr>
        <w:spacing w:after="0" w:line="174" w:lineRule="exact"/>
        <w:rPr>
          <w:sz w:val="20"/>
          <w:szCs w:val="20"/>
          <w:color w:val="auto"/>
        </w:rPr>
      </w:pPr>
    </w:p>
    <w:p>
      <w:pPr>
        <w:ind w:left="221" w:right="40"/>
        <w:spacing w:after="0" w:line="255" w:lineRule="auto"/>
        <w:rPr>
          <w:sz w:val="20"/>
          <w:szCs w:val="20"/>
          <w:color w:val="auto"/>
        </w:rPr>
      </w:pPr>
      <w:r>
        <w:rPr>
          <w:rFonts w:ascii="Times New Roman" w:cs="Times New Roman" w:eastAsia="Times New Roman" w:hAnsi="Times New Roman"/>
          <w:sz w:val="18"/>
          <w:szCs w:val="18"/>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 PERCEPTIONS THAT THE PRODUCTS WE PRODUCE AND MARKET ARE NOT SAFE COULD ADVERSELY AFFECT US.</w:t>
      </w:r>
    </w:p>
    <w:p>
      <w:pPr>
        <w:spacing w:after="0" w:line="252" w:lineRule="exact"/>
        <w:rPr>
          <w:sz w:val="20"/>
          <w:szCs w:val="20"/>
          <w:color w:val="auto"/>
        </w:rPr>
      </w:pPr>
    </w:p>
    <w:p>
      <w:pPr>
        <w:ind w:left="221" w:right="80"/>
        <w:spacing w:after="0" w:line="256" w:lineRule="auto"/>
        <w:rPr>
          <w:sz w:val="20"/>
          <w:szCs w:val="20"/>
          <w:color w:val="auto"/>
        </w:rPr>
      </w:pPr>
      <w:r>
        <w:rPr>
          <w:rFonts w:ascii="Times New Roman" w:cs="Times New Roman" w:eastAsia="Times New Roman" w:hAnsi="Times New Roman"/>
          <w:sz w:val="18"/>
          <w:szCs w:val="18"/>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our reputation, involve us in litigation, damage our brand names and have a material adverse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131445</wp:posOffset>
            </wp:positionV>
            <wp:extent cx="3860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151130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935" w:right="239" w:bottom="1440" w:gutter="0" w:footer="0" w:header="0"/>
        </w:sectPr>
      </w:pPr>
    </w:p>
    <w:bookmarkStart w:id="35" w:name="page36"/>
    <w:bookmarkEnd w:id="35"/>
    <w:p>
      <w:pPr>
        <w:ind w:left="101" w:right="120" w:hanging="101"/>
        <w:spacing w:after="0" w:line="275" w:lineRule="auto"/>
        <w:tabs>
          <w:tab w:leader="none" w:pos="1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CERTAIN OF OUR PRODUCTS AND OUR BUSINESS SUCCESS CONTRIBUTE TO THE RISK THAT THE COMPANY WILL BE SUBJECTED TO LAWSUITS.</w:t>
      </w:r>
    </w:p>
    <w:p>
      <w:pPr>
        <w:spacing w:after="0" w:line="174" w:lineRule="exact"/>
        <w:rPr>
          <w:sz w:val="20"/>
          <w:szCs w:val="20"/>
          <w:color w:val="auto"/>
        </w:rPr>
      </w:pPr>
    </w:p>
    <w:p>
      <w:pPr>
        <w:ind w:left="221" w:right="260"/>
        <w:spacing w:after="0" w:line="275" w:lineRule="auto"/>
        <w:rPr>
          <w:sz w:val="20"/>
          <w:szCs w:val="20"/>
          <w:color w:val="auto"/>
        </w:rPr>
      </w:pPr>
      <w:r>
        <w:rPr>
          <w:rFonts w:ascii="Times New Roman" w:cs="Times New Roman" w:eastAsia="Times New Roman" w:hAnsi="Times New Roman"/>
          <w:sz w:val="18"/>
          <w:szCs w:val="18"/>
          <w:color w:val="auto"/>
        </w:rPr>
        <w:t>The nature of certain of our products and our business success contribute to the risk that the Company will be subjected to lawsuits. The following are among the factors that contribute to this litigation risk:</w:t>
      </w:r>
    </w:p>
    <w:p>
      <w:pPr>
        <w:spacing w:after="0" w:line="174" w:lineRule="exact"/>
        <w:rPr>
          <w:sz w:val="20"/>
          <w:szCs w:val="20"/>
          <w:color w:val="auto"/>
        </w:rPr>
      </w:pPr>
    </w:p>
    <w:p>
      <w:pPr>
        <w:ind w:left="461" w:right="100" w:hanging="123"/>
        <w:spacing w:after="0" w:line="258" w:lineRule="auto"/>
        <w:tabs>
          <w:tab w:leader="none" w:pos="4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217" w:lineRule="exact"/>
        <w:rPr>
          <w:rFonts w:ascii="Times New Roman" w:cs="Times New Roman" w:eastAsia="Times New Roman" w:hAnsi="Times New Roman"/>
          <w:sz w:val="18"/>
          <w:szCs w:val="18"/>
          <w:color w:val="auto"/>
        </w:rPr>
      </w:pPr>
    </w:p>
    <w:p>
      <w:pPr>
        <w:ind w:left="461" w:right="40" w:hanging="123"/>
        <w:spacing w:after="0" w:line="262" w:lineRule="auto"/>
        <w:tabs>
          <w:tab w:leader="none" w:pos="4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vendor supplied contaminated vermiculite ore to the Company. Although our use of vermiculite ore from the contaminated source ended over twenty years ago, our former relationship with this supplier enhances the risk that the Company will be subjected to personal injury and product liability claims relating to the use of vermiculite in some of our products.</w:t>
      </w:r>
    </w:p>
    <w:p>
      <w:pPr>
        <w:spacing w:after="0" w:line="213" w:lineRule="exact"/>
        <w:rPr>
          <w:rFonts w:ascii="Times New Roman" w:cs="Times New Roman" w:eastAsia="Times New Roman" w:hAnsi="Times New Roman"/>
          <w:sz w:val="18"/>
          <w:szCs w:val="18"/>
          <w:color w:val="auto"/>
        </w:rPr>
      </w:pPr>
    </w:p>
    <w:p>
      <w:pPr>
        <w:jc w:val="both"/>
        <w:ind w:left="461" w:right="120" w:hanging="123"/>
        <w:spacing w:after="0" w:line="262" w:lineRule="auto"/>
        <w:tabs>
          <w:tab w:leader="none" w:pos="4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86" w:lineRule="exact"/>
        <w:rPr>
          <w:sz w:val="20"/>
          <w:szCs w:val="20"/>
          <w:color w:val="auto"/>
        </w:rPr>
      </w:pPr>
    </w:p>
    <w:p>
      <w:pPr>
        <w:ind w:left="221"/>
        <w:spacing w:after="0"/>
        <w:rPr>
          <w:sz w:val="20"/>
          <w:szCs w:val="20"/>
          <w:color w:val="auto"/>
        </w:rPr>
      </w:pPr>
      <w:r>
        <w:rPr>
          <w:rFonts w:ascii="Times New Roman" w:cs="Times New Roman" w:eastAsia="Times New Roman" w:hAnsi="Times New Roman"/>
          <w:sz w:val="18"/>
          <w:szCs w:val="18"/>
          <w:color w:val="auto"/>
        </w:rPr>
        <w:t>Please see “ITEM 3. LEGAL PROCEEDINGS” and Note 16 to the Consolidated Financial Statements.</w:t>
      </w:r>
    </w:p>
    <w:p>
      <w:pPr>
        <w:spacing w:after="0" w:line="252" w:lineRule="exact"/>
        <w:rPr>
          <w:sz w:val="20"/>
          <w:szCs w:val="20"/>
          <w:color w:val="auto"/>
        </w:rPr>
      </w:pPr>
    </w:p>
    <w:p>
      <w:pPr>
        <w:ind w:left="101" w:right="100" w:hanging="101"/>
        <w:spacing w:after="0" w:line="339" w:lineRule="auto"/>
        <w:tabs>
          <w:tab w:leader="none" w:pos="1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OF THE CONCENTRATION OF OUR SALES TO A SMALL NUMBER OF RETAIL CUSTOMERS, THE LOSS OF ONE OR MORE OF, OR SIGNIFICANT DECLINE IN ORDERS FROM, OUR TOP CUSTOMERS COULD ADVERSELY AFFECT OUR FINANCIAL RESULTS.</w:t>
      </w:r>
    </w:p>
    <w:p>
      <w:pPr>
        <w:spacing w:after="0" w:line="128" w:lineRule="exact"/>
        <w:rPr>
          <w:sz w:val="20"/>
          <w:szCs w:val="20"/>
          <w:color w:val="auto"/>
        </w:rPr>
      </w:pPr>
    </w:p>
    <w:p>
      <w:pPr>
        <w:jc w:val="both"/>
        <w:ind w:left="221" w:right="80"/>
        <w:spacing w:after="0" w:line="255" w:lineRule="auto"/>
        <w:rPr>
          <w:sz w:val="20"/>
          <w:szCs w:val="20"/>
          <w:color w:val="auto"/>
        </w:rPr>
      </w:pPr>
      <w:r>
        <w:rPr>
          <w:rFonts w:ascii="Times New Roman" w:cs="Times New Roman" w:eastAsia="Times New Roman" w:hAnsi="Times New Roman"/>
          <w:sz w:val="18"/>
          <w:szCs w:val="18"/>
          <w:color w:val="auto"/>
        </w:rPr>
        <w:t>North America net sales represent approximately 73% of our worldwide net sales in fiscal 2004. Our top three North American retail customers together accounted for 67% of our North America fiscal 2004 net sales and 60% of our outstanding accounts receivable as of September 30, 2004. Home Depot, Wal*Mart and Lowe’s represented approximately 36%, 18% and 13%, respectively, of our fiscal 2004 North America net sales. The loss of, or reduction in orders from, Home Depot, Wal*Mart,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220" w:lineRule="exact"/>
        <w:rPr>
          <w:sz w:val="20"/>
          <w:szCs w:val="20"/>
          <w:color w:val="auto"/>
        </w:rPr>
      </w:pPr>
    </w:p>
    <w:p>
      <w:pPr>
        <w:ind w:left="221" w:right="120"/>
        <w:spacing w:after="0" w:line="258" w:lineRule="auto"/>
        <w:rPr>
          <w:sz w:val="20"/>
          <w:szCs w:val="20"/>
          <w:color w:val="auto"/>
        </w:rPr>
      </w:pPr>
      <w:r>
        <w:rPr>
          <w:rFonts w:ascii="Times New Roman" w:cs="Times New Roman" w:eastAsia="Times New Roman" w:hAnsi="Times New Roman"/>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a deterioration in the financial condition of, or other adverse developments involving our relationship with, one or more customers.</w:t>
      </w:r>
    </w:p>
    <w:p>
      <w:pPr>
        <w:spacing w:after="0" w:line="190" w:lineRule="exact"/>
        <w:rPr>
          <w:sz w:val="20"/>
          <w:szCs w:val="20"/>
          <w:color w:val="auto"/>
        </w:rPr>
      </w:pPr>
    </w:p>
    <w:p>
      <w:pPr>
        <w:ind w:left="101" w:right="240" w:hanging="101"/>
        <w:spacing w:after="0" w:line="275" w:lineRule="auto"/>
        <w:tabs>
          <w:tab w:leader="none" w:pos="1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COMPANY’S MARKETS COULD ADVERSELY AFFECT THE ABILITY OF THE COMPANY TO GROW OR MAINTAIN REVENUES.</w:t>
      </w:r>
    </w:p>
    <w:p>
      <w:pPr>
        <w:spacing w:after="0" w:line="174" w:lineRule="exact"/>
        <w:rPr>
          <w:sz w:val="20"/>
          <w:szCs w:val="20"/>
          <w:color w:val="auto"/>
        </w:rPr>
      </w:pPr>
    </w:p>
    <w:p>
      <w:pPr>
        <w:jc w:val="both"/>
        <w:ind w:left="221" w:right="240"/>
        <w:spacing w:after="0" w:line="258" w:lineRule="auto"/>
        <w:rPr>
          <w:sz w:val="20"/>
          <w:szCs w:val="20"/>
          <w:color w:val="auto"/>
        </w:rPr>
      </w:pPr>
      <w:r>
        <w:rPr>
          <w:rFonts w:ascii="Times New Roman" w:cs="Times New Roman" w:eastAsia="Times New Roman" w:hAnsi="Times New Roman"/>
          <w:sz w:val="18"/>
          <w:szCs w:val="18"/>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The strong competition that we face in all of our markets may prevent us from achieving our revenue goals, which may have a material adverse affect on our financial condition and results of operations.</w:t>
      </w:r>
    </w:p>
    <w:p>
      <w:pPr>
        <w:spacing w:after="0" w:line="190" w:lineRule="exact"/>
        <w:rPr>
          <w:sz w:val="20"/>
          <w:szCs w:val="20"/>
          <w:color w:val="auto"/>
        </w:rPr>
      </w:pPr>
    </w:p>
    <w:p>
      <w:pPr>
        <w:ind w:left="101" w:right="440" w:hanging="101"/>
        <w:spacing w:after="0" w:line="275" w:lineRule="auto"/>
        <w:tabs>
          <w:tab w:leader="none" w:pos="1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MONSANTO WERE TO TERMINATE THE MARKETING AGREEMENT FOR CONSUMER ROUNDUP® PRODUCTS WITHOUT BEING REQUIRED TO PAY ANY TERMINATION FEE, WE WOULD LOSE A SUBSTANTIAL SOURCE OF FUTURE EARNINGS.</w:t>
      </w:r>
    </w:p>
    <w:p>
      <w:pPr>
        <w:spacing w:after="0" w:line="174" w:lineRule="exact"/>
        <w:rPr>
          <w:sz w:val="20"/>
          <w:szCs w:val="20"/>
          <w:color w:val="auto"/>
        </w:rPr>
      </w:pPr>
    </w:p>
    <w:p>
      <w:pPr>
        <w:ind w:left="221"/>
        <w:spacing w:after="0" w:line="275" w:lineRule="auto"/>
        <w:rPr>
          <w:sz w:val="20"/>
          <w:szCs w:val="20"/>
          <w:color w:val="auto"/>
        </w:rPr>
      </w:pPr>
      <w:r>
        <w:rPr>
          <w:rFonts w:ascii="Times New Roman" w:cs="Times New Roman" w:eastAsia="Times New Roman" w:hAnsi="Times New Roman"/>
          <w:sz w:val="18"/>
          <w:szCs w:val="18"/>
          <w:color w:val="auto"/>
        </w:rPr>
        <w:t>If we were to commit a serious default under the marketing agreement with Monsanto for consumer Roundup® products, Monsanto may have the right to terminate the agreement. If Monsanto were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119380</wp:posOffset>
            </wp:positionV>
            <wp:extent cx="386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151130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935" w:right="259" w:bottom="1440" w:gutter="0" w:footer="0" w:header="0"/>
        </w:sectPr>
      </w:pPr>
    </w:p>
    <w:bookmarkStart w:id="36" w:name="page37"/>
    <w:bookmarkEnd w:id="36"/>
    <w:p>
      <w:pPr>
        <w:ind w:left="221" w:right="20"/>
        <w:spacing w:after="0" w:line="310" w:lineRule="auto"/>
        <w:rPr>
          <w:sz w:val="20"/>
          <w:szCs w:val="20"/>
          <w:color w:val="auto"/>
        </w:rPr>
      </w:pPr>
      <w:r>
        <w:rPr>
          <w:rFonts w:ascii="Times New Roman" w:cs="Times New Roman" w:eastAsia="Times New Roman" w:hAnsi="Times New Roman"/>
          <w:sz w:val="16"/>
          <w:szCs w:val="16"/>
          <w:color w:val="auto"/>
        </w:rPr>
        <w:t>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51" w:lineRule="exact"/>
        <w:rPr>
          <w:sz w:val="20"/>
          <w:szCs w:val="20"/>
          <w:color w:val="auto"/>
        </w:rPr>
      </w:pPr>
    </w:p>
    <w:p>
      <w:pPr>
        <w:ind w:left="461" w:hanging="123"/>
        <w:spacing w:after="0"/>
        <w:tabs>
          <w:tab w:leader="none" w:pos="4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a cumulative three fiscal year period; or</w:t>
      </w:r>
    </w:p>
    <w:p>
      <w:pPr>
        <w:spacing w:after="0" w:line="279" w:lineRule="exact"/>
        <w:rPr>
          <w:rFonts w:ascii="Times New Roman" w:cs="Times New Roman" w:eastAsia="Times New Roman" w:hAnsi="Times New Roman"/>
          <w:sz w:val="18"/>
          <w:szCs w:val="18"/>
          <w:color w:val="auto"/>
        </w:rPr>
      </w:pPr>
    </w:p>
    <w:p>
      <w:pPr>
        <w:ind w:left="461" w:hanging="123"/>
        <w:spacing w:after="0"/>
        <w:tabs>
          <w:tab w:leader="none" w:pos="4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more than 5% for each of two consecutive fiscal years.</w:t>
      </w:r>
    </w:p>
    <w:p>
      <w:pPr>
        <w:spacing w:after="0" w:line="252" w:lineRule="exact"/>
        <w:rPr>
          <w:rFonts w:ascii="Times New Roman" w:cs="Times New Roman" w:eastAsia="Times New Roman" w:hAnsi="Times New Roman"/>
          <w:sz w:val="18"/>
          <w:szCs w:val="18"/>
          <w:color w:val="auto"/>
        </w:rPr>
      </w:pPr>
    </w:p>
    <w:p>
      <w:pPr>
        <w:ind w:left="101" w:hanging="101"/>
        <w:spacing w:after="0"/>
        <w:tabs>
          <w:tab w:leader="none" w:pos="1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HAGEDORN PARTNERSHIP, L.P. BENEFICIALLY OWNS APPROXIMATELY 33% OF OUR OUTSTANDING COMMON SHARES.</w:t>
      </w:r>
    </w:p>
    <w:p>
      <w:pPr>
        <w:spacing w:after="0" w:line="252" w:lineRule="exact"/>
        <w:rPr>
          <w:sz w:val="20"/>
          <w:szCs w:val="20"/>
          <w:color w:val="auto"/>
        </w:rPr>
      </w:pPr>
    </w:p>
    <w:p>
      <w:pPr>
        <w:ind w:left="221" w:right="80"/>
        <w:spacing w:after="0" w:line="275" w:lineRule="auto"/>
        <w:rPr>
          <w:sz w:val="20"/>
          <w:szCs w:val="20"/>
          <w:color w:val="auto"/>
        </w:rPr>
      </w:pPr>
      <w:r>
        <w:rPr>
          <w:rFonts w:ascii="Times New Roman" w:cs="Times New Roman" w:eastAsia="Times New Roman" w:hAnsi="Times New Roman"/>
          <w:sz w:val="18"/>
          <w:szCs w:val="18"/>
          <w:color w:val="auto"/>
        </w:rPr>
        <w:t>Hagedorn Partnership, L.P. beneficially owned approximately 33% of our outstanding common shares as of November 1, 2004, and has sufficient voting power to significantly influence the election of directors and the approval of other actions requiring the approval of our shareholders.</w:t>
      </w:r>
    </w:p>
    <w:p>
      <w:pPr>
        <w:spacing w:after="0" w:line="174" w:lineRule="exact"/>
        <w:rPr>
          <w:sz w:val="20"/>
          <w:szCs w:val="20"/>
          <w:color w:val="auto"/>
        </w:rPr>
      </w:pPr>
    </w:p>
    <w:p>
      <w:pPr>
        <w:ind w:left="101" w:right="700" w:hanging="101"/>
        <w:spacing w:after="0" w:line="275" w:lineRule="auto"/>
        <w:tabs>
          <w:tab w:leader="none" w:pos="1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AND OTHER PUBLIC HEALTH REGULATIONS COULD INCREASE OUR COST OF DOING BUSINESS.</w:t>
      </w:r>
    </w:p>
    <w:p>
      <w:pPr>
        <w:spacing w:after="0" w:line="174" w:lineRule="exact"/>
        <w:rPr>
          <w:sz w:val="20"/>
          <w:szCs w:val="20"/>
          <w:color w:val="auto"/>
        </w:rPr>
      </w:pPr>
    </w:p>
    <w:p>
      <w:pPr>
        <w:ind w:left="221" w:right="40"/>
        <w:spacing w:after="0" w:line="255" w:lineRule="auto"/>
        <w:rPr>
          <w:sz w:val="20"/>
          <w:szCs w:val="20"/>
          <w:color w:val="auto"/>
        </w:rPr>
      </w:pPr>
      <w:r>
        <w:rPr>
          <w:rFonts w:ascii="Times New Roman" w:cs="Times New Roman" w:eastAsia="Times New Roman" w:hAnsi="Times New Roman"/>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220" w:lineRule="exact"/>
        <w:rPr>
          <w:sz w:val="20"/>
          <w:szCs w:val="20"/>
          <w:color w:val="auto"/>
        </w:rPr>
      </w:pPr>
    </w:p>
    <w:p>
      <w:pPr>
        <w:ind w:left="221" w:right="20"/>
        <w:spacing w:after="0" w:line="253" w:lineRule="auto"/>
        <w:rPr>
          <w:sz w:val="20"/>
          <w:szCs w:val="20"/>
          <w:color w:val="auto"/>
        </w:rPr>
      </w:pPr>
      <w:r>
        <w:rPr>
          <w:rFonts w:ascii="Times New Roman" w:cs="Times New Roman" w:eastAsia="Times New Roman" w:hAnsi="Times New Roman"/>
          <w:sz w:val="18"/>
          <w:szCs w:val="18"/>
          <w:color w:val="auto"/>
        </w:rPr>
        <w:t>The Food Quality Protection Act, enacted by the U.S. Congress in August 1996, establishes a standard for food-use pesticides, which standard is the reasonable certainty that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also used in our lawn and garden products. We cannot predict the outcome or the severity of the effect of their continuing evaluations.</w:t>
      </w:r>
    </w:p>
    <w:p>
      <w:pPr>
        <w:spacing w:after="0" w:line="222" w:lineRule="exact"/>
        <w:rPr>
          <w:sz w:val="20"/>
          <w:szCs w:val="20"/>
          <w:color w:val="auto"/>
        </w:rPr>
      </w:pPr>
    </w:p>
    <w:p>
      <w:pPr>
        <w:ind w:left="221" w:right="20"/>
        <w:spacing w:after="0" w:line="254" w:lineRule="auto"/>
        <w:rPr>
          <w:sz w:val="20"/>
          <w:szCs w:val="20"/>
          <w:color w:val="auto"/>
        </w:rPr>
      </w:pPr>
      <w:r>
        <w:rPr>
          <w:rFonts w:ascii="Times New Roman" w:cs="Times New Roman" w:eastAsia="Times New Roman" w:hAnsi="Times New Roman"/>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22" w:lineRule="exact"/>
        <w:rPr>
          <w:sz w:val="20"/>
          <w:szCs w:val="20"/>
          <w:color w:val="auto"/>
        </w:rPr>
      </w:pPr>
    </w:p>
    <w:p>
      <w:pPr>
        <w:ind w:left="221"/>
        <w:spacing w:after="0" w:line="258" w:lineRule="auto"/>
        <w:rPr>
          <w:sz w:val="20"/>
          <w:szCs w:val="20"/>
          <w:color w:val="auto"/>
        </w:rPr>
      </w:pPr>
      <w:r>
        <w:rPr>
          <w:rFonts w:ascii="Times New Roman" w:cs="Times New Roman" w:eastAsia="Times New Roman" w:hAnsi="Times New Roman"/>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217" w:lineRule="exact"/>
        <w:rPr>
          <w:sz w:val="20"/>
          <w:szCs w:val="20"/>
          <w:color w:val="auto"/>
        </w:rPr>
      </w:pPr>
    </w:p>
    <w:p>
      <w:pPr>
        <w:ind w:left="221" w:right="360"/>
        <w:spacing w:after="0" w:line="275" w:lineRule="auto"/>
        <w:rPr>
          <w:sz w:val="20"/>
          <w:szCs w:val="20"/>
          <w:color w:val="auto"/>
        </w:rPr>
      </w:pPr>
      <w:r>
        <w:rPr>
          <w:rFonts w:ascii="Times New Roman" w:cs="Times New Roman" w:eastAsia="Times New Roman" w:hAnsi="Times New Roman"/>
          <w:sz w:val="18"/>
          <w:szCs w:val="18"/>
          <w:color w:val="auto"/>
        </w:rPr>
        <w:t>In addition to the regulations already described, local, state, federal and foreign agencies regulate the disposal, handling and storage of waste, air and water discharges from our facilities. In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119380</wp:posOffset>
            </wp:positionV>
            <wp:extent cx="386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151130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935" w:right="259" w:bottom="1440" w:gutter="0" w:footer="0" w:header="0"/>
        </w:sectPr>
      </w:pPr>
    </w:p>
    <w:bookmarkStart w:id="37" w:name="page38"/>
    <w:bookmarkEnd w:id="37"/>
    <w:p>
      <w:pPr>
        <w:ind w:left="580"/>
        <w:spacing w:after="0" w:line="258" w:lineRule="auto"/>
        <w:rPr>
          <w:sz w:val="20"/>
          <w:szCs w:val="20"/>
          <w:color w:val="auto"/>
        </w:rPr>
      </w:pPr>
      <w:r>
        <w:rPr>
          <w:rFonts w:ascii="Times New Roman" w:cs="Times New Roman" w:eastAsia="Times New Roman" w:hAnsi="Times New Roman"/>
          <w:sz w:val="18"/>
          <w:szCs w:val="18"/>
          <w:color w:val="auto"/>
        </w:rPr>
        <w:t>1997, the Ohio EPA initiated an enforcement action against us with respect to alleged surface water violations and inadequate treatment capabilities at our Marysville, Ohio facility and is seeking corrective action under the federal Resource Conservation and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During fiscal 2004, 2003, and 2002 we expensed approximately $3.3 million, $1.5 million, and $5.4 million for environmental matters.</w:t>
      </w:r>
    </w:p>
    <w:p>
      <w:pPr>
        <w:spacing w:after="0" w:line="279" w:lineRule="exact"/>
        <w:rPr>
          <w:sz w:val="20"/>
          <w:szCs w:val="20"/>
          <w:color w:val="auto"/>
        </w:rPr>
      </w:pPr>
    </w:p>
    <w:p>
      <w:pPr>
        <w:ind w:left="580" w:right="60"/>
        <w:spacing w:after="0" w:line="275" w:lineRule="auto"/>
        <w:rPr>
          <w:sz w:val="20"/>
          <w:szCs w:val="20"/>
          <w:color w:val="auto"/>
        </w:rPr>
      </w:pPr>
      <w:r>
        <w:rPr>
          <w:rFonts w:ascii="Times New Roman" w:cs="Times New Roman" w:eastAsia="Times New Roman" w:hAnsi="Times New Roman"/>
          <w:sz w:val="18"/>
          <w:szCs w:val="18"/>
          <w:color w:val="auto"/>
        </w:rPr>
        <w:t>The adequacy of these estimated future expenditures is based on our operating in substantial compliance with applicable environmental and public health laws and regulations and several significant assumptions:</w:t>
      </w:r>
    </w:p>
    <w:p>
      <w:pPr>
        <w:spacing w:after="0" w:line="174" w:lineRule="exact"/>
        <w:rPr>
          <w:sz w:val="20"/>
          <w:szCs w:val="20"/>
          <w:color w:val="auto"/>
        </w:rPr>
      </w:pPr>
    </w:p>
    <w:p>
      <w:pPr>
        <w:ind w:left="820" w:hanging="12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all of the significant sites that must be remediated;</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significant conditions of potential contamination that are unknown to us; and</w:t>
      </w:r>
    </w:p>
    <w:p>
      <w:pPr>
        <w:spacing w:after="0" w:line="279" w:lineRule="exact"/>
        <w:rPr>
          <w:rFonts w:ascii="Times New Roman" w:cs="Times New Roman" w:eastAsia="Times New Roman" w:hAnsi="Times New Roman"/>
          <w:sz w:val="18"/>
          <w:szCs w:val="18"/>
          <w:color w:val="auto"/>
        </w:rPr>
      </w:pPr>
    </w:p>
    <w:p>
      <w:pPr>
        <w:ind w:left="820" w:right="260" w:hanging="123"/>
        <w:spacing w:after="0" w:line="275"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jc w:val="both"/>
        <w:ind w:left="580" w:right="160"/>
        <w:spacing w:after="0" w:line="262" w:lineRule="auto"/>
        <w:rPr>
          <w:sz w:val="20"/>
          <w:szCs w:val="20"/>
          <w:color w:val="auto"/>
        </w:rPr>
      </w:pPr>
      <w:r>
        <w:rPr>
          <w:rFonts w:ascii="Times New Roman" w:cs="Times New Roman" w:eastAsia="Times New Roman" w:hAnsi="Times New Roman"/>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86" w:lineRule="exact"/>
        <w:rPr>
          <w:sz w:val="20"/>
          <w:szCs w:val="20"/>
          <w:color w:val="auto"/>
        </w:rPr>
      </w:pPr>
    </w:p>
    <w:p>
      <w:pPr>
        <w:ind w:left="460" w:right="420" w:hanging="101"/>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INTERNATIONAL OPERATIONS MAKE US SUSCEPTIBLE TO FLUCTUATIONS IN CURRENCY EXCHANGE RATES AND TO THE COSTS OF INTERNATIONAL REGULATION.</w:t>
      </w:r>
    </w:p>
    <w:p>
      <w:pPr>
        <w:spacing w:after="0" w:line="174" w:lineRule="exact"/>
        <w:rPr>
          <w:sz w:val="20"/>
          <w:szCs w:val="20"/>
          <w:color w:val="auto"/>
        </w:rPr>
      </w:pPr>
    </w:p>
    <w:p>
      <w:pPr>
        <w:jc w:val="both"/>
        <w:ind w:left="580" w:right="120"/>
        <w:spacing w:after="0" w:line="262" w:lineRule="auto"/>
        <w:rPr>
          <w:sz w:val="20"/>
          <w:szCs w:val="20"/>
          <w:color w:val="auto"/>
        </w:rPr>
      </w:pPr>
      <w:r>
        <w:rPr>
          <w:rFonts w:ascii="Times New Roman" w:cs="Times New Roman" w:eastAsia="Times New Roman" w:hAnsi="Times New Roman"/>
          <w:sz w:val="18"/>
          <w:szCs w:val="18"/>
          <w:color w:val="auto"/>
        </w:rPr>
        <w:t>We currently operate manufacturing, sales and service facilities outside of North America, particularly in the United Kingdom, Germany, France and the Netherlands. In fiscal 2004, international sales accounted for approximately 20% of our total sales. Accordingly, we are subject to risks associated with operations in foreign countries, including:</w:t>
      </w:r>
    </w:p>
    <w:p>
      <w:pPr>
        <w:spacing w:after="0" w:line="186" w:lineRule="exact"/>
        <w:rPr>
          <w:sz w:val="20"/>
          <w:szCs w:val="20"/>
          <w:color w:val="auto"/>
        </w:rPr>
      </w:pPr>
    </w:p>
    <w:p>
      <w:pPr>
        <w:ind w:left="820" w:hanging="12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36"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conversion of foreign currencies into U.S. dollars;</w:t>
      </w:r>
    </w:p>
    <w:p>
      <w:pPr>
        <w:spacing w:after="0" w:line="36"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remittance of dividends and other payments by foreign subsidiaries;</w:t>
      </w:r>
    </w:p>
    <w:p>
      <w:pPr>
        <w:spacing w:after="0" w:line="36"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of compliance with local regulations; and</w:t>
      </w:r>
    </w:p>
    <w:p>
      <w:pPr>
        <w:spacing w:after="0" w:line="36"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certain countries, higher rates of inflation than in the United States.</w:t>
      </w:r>
    </w:p>
    <w:p>
      <w:pPr>
        <w:spacing w:after="0" w:line="252" w:lineRule="exact"/>
        <w:rPr>
          <w:sz w:val="20"/>
          <w:szCs w:val="20"/>
          <w:color w:val="auto"/>
        </w:rPr>
      </w:pPr>
    </w:p>
    <w:p>
      <w:pPr>
        <w:ind w:left="580" w:right="80"/>
        <w:spacing w:after="0" w:line="262" w:lineRule="auto"/>
        <w:rPr>
          <w:sz w:val="20"/>
          <w:szCs w:val="20"/>
          <w:color w:val="auto"/>
        </w:rPr>
      </w:pPr>
      <w:r>
        <w:rPr>
          <w:rFonts w:ascii="Times New Roman" w:cs="Times New Roman" w:eastAsia="Times New Roman" w:hAnsi="Times New Roman"/>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54" w:lineRule="exact"/>
        <w:rPr>
          <w:sz w:val="20"/>
          <w:szCs w:val="20"/>
          <w:color w:val="auto"/>
        </w:rPr>
      </w:pPr>
    </w:p>
    <w:p>
      <w:pPr>
        <w:ind w:right="380" w:firstLine="270"/>
        <w:spacing w:after="0" w:line="262" w:lineRule="auto"/>
        <w:rPr>
          <w:sz w:val="20"/>
          <w:szCs w:val="20"/>
          <w:color w:val="auto"/>
        </w:rPr>
      </w:pPr>
      <w:r>
        <w:rPr>
          <w:rFonts w:ascii="Times New Roman" w:cs="Times New Roman" w:eastAsia="Times New Roman" w:hAnsi="Times New Roman"/>
          <w:sz w:val="18"/>
          <w:szCs w:val="18"/>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180" w:firstLine="270"/>
        <w:spacing w:after="0" w:line="339" w:lineRule="auto"/>
        <w:rPr>
          <w:sz w:val="20"/>
          <w:szCs w:val="20"/>
          <w:color w:val="auto"/>
        </w:rPr>
      </w:pPr>
      <w:r>
        <w:rPr>
          <w:rFonts w:ascii="Times New Roman" w:cs="Times New Roman" w:eastAsia="Times New Roman" w:hAnsi="Times New Roman"/>
          <w:sz w:val="16"/>
          <w:szCs w:val="16"/>
          <w:color w:val="auto"/>
        </w:rPr>
        <w:t>We have various debt instruments outstanding at September 30, 2004 and 2003 that are impacted by changes in interest rates. As a means of managing our interest rate risk on these debt instruments, we enter into interest rate swap agreements to effectively convert certain variable rate debt obligations to fixed rates.</w:t>
      </w:r>
    </w:p>
    <w:p>
      <w:pPr>
        <w:spacing w:after="0" w:line="15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At September 30, 2004 and 2003, we had outstanding nine and five interest rate swaps, respectively, with major financial institutions that effectively convert a portion of our variable-rate debt to a fixed rate. The swaps have notional amounts between $10 million and $50 million ($175 million and $75 million in total, respectively at September 30, 2004 and 2003) with three to seven year terms commencing in October 2001. Under the terms of these swaps, the Company pays rates ranging from 2.76% to 3.76% and receives three-month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summarizes information about our derivative financial instruments and debt instruments that are sensitive to changes in interest rates as of September 30, 2004 and 2003.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2004 and 2003. A change in our variable interest rate of 1% would have a $2.2 million impact on interest expense for the $224 million of our variable rate debt that has not been hedged via an interest rate swap at September 30, 2004. The information is presented in U.S. dollars (in millions):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80" w:type="dxa"/>
            <w:vAlign w:val="bottom"/>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jc w:val="right"/>
              <w:ind w:right="1532"/>
              <w:spacing w:after="0"/>
              <w:rPr>
                <w:sz w:val="20"/>
                <w:szCs w:val="20"/>
                <w:color w:val="auto"/>
              </w:rPr>
            </w:pPr>
            <w:r>
              <w:rPr>
                <w:rFonts w:ascii="Times New Roman" w:cs="Times New Roman" w:eastAsia="Times New Roman" w:hAnsi="Times New Roman"/>
                <w:sz w:val="14"/>
                <w:szCs w:val="14"/>
                <w:color w:val="auto"/>
              </w:rPr>
              <w:t>2004</w:t>
            </w:r>
          </w:p>
        </w:tc>
        <w:tc>
          <w:tcPr>
            <w:tcW w:w="200" w:type="dxa"/>
            <w:vAlign w:val="bottom"/>
          </w:tcPr>
          <w:p>
            <w:pPr>
              <w:spacing w:after="0"/>
              <w:rPr>
                <w:sz w:val="16"/>
                <w:szCs w:val="16"/>
                <w:color w:val="auto"/>
              </w:rPr>
            </w:pPr>
          </w:p>
        </w:tc>
        <w:tc>
          <w:tcPr>
            <w:tcW w:w="6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300" w:type="dxa"/>
            <w:vAlign w:val="bottom"/>
          </w:tcPr>
          <w:p>
            <w:pPr>
              <w:spacing w:after="0"/>
              <w:rPr>
                <w:sz w:val="16"/>
                <w:szCs w:val="16"/>
                <w:color w:val="auto"/>
              </w:rPr>
            </w:pPr>
          </w:p>
        </w:tc>
        <w:tc>
          <w:tcPr>
            <w:tcW w:w="6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2007</w:t>
            </w: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2009</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After</w:t>
            </w:r>
          </w:p>
        </w:tc>
        <w:tc>
          <w:tcPr>
            <w:tcW w:w="560" w:type="dxa"/>
            <w:vAlign w:val="bottom"/>
          </w:tcPr>
          <w:p>
            <w:pPr>
              <w:spacing w:after="0"/>
              <w:rPr>
                <w:sz w:val="16"/>
                <w:szCs w:val="16"/>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20" w:type="dxa"/>
            <w:vAlign w:val="bottom"/>
          </w:tcPr>
          <w:p>
            <w:pPr>
              <w:spacing w:after="0"/>
              <w:rPr>
                <w:sz w:val="16"/>
                <w:szCs w:val="16"/>
                <w:color w:val="auto"/>
              </w:rPr>
            </w:pPr>
          </w:p>
        </w:tc>
        <w:tc>
          <w:tcPr>
            <w:tcW w:w="5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200.0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3"/>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w w:val="97"/>
              </w:rPr>
              <w:t>6.625%</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$43.4</w:t>
            </w: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$192.7</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$142.1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399.0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3"/>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w w:val="90"/>
              </w:rPr>
              <w:t>3.98%</w:t>
            </w: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w w:val="94"/>
              </w:rPr>
              <w:t>3.98%</w:t>
            </w:r>
          </w:p>
        </w:tc>
        <w:tc>
          <w:tcPr>
            <w:tcW w:w="960" w:type="dxa"/>
            <w:vAlign w:val="bottom"/>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1120" w:type="dxa"/>
            <w:vAlign w:val="bottom"/>
            <w:shd w:val="clear" w:color="auto" w:fill="EEEEEE"/>
          </w:tcPr>
          <w:p>
            <w:pPr>
              <w:jc w:val="right"/>
              <w:ind w:right="277"/>
              <w:spacing w:after="0"/>
              <w:rPr>
                <w:sz w:val="20"/>
                <w:szCs w:val="20"/>
                <w:color w:val="auto"/>
              </w:rPr>
            </w:pPr>
            <w:r>
              <w:rPr>
                <w:rFonts w:ascii="Times New Roman" w:cs="Times New Roman" w:eastAsia="Times New Roman" w:hAnsi="Times New Roman"/>
                <w:sz w:val="18"/>
                <w:szCs w:val="18"/>
                <w:color w:val="auto"/>
              </w:rPr>
              <w:t>3.98%</w:t>
            </w:r>
          </w:p>
        </w:tc>
        <w:tc>
          <w:tcPr>
            <w:tcW w:w="1060" w:type="dxa"/>
            <w:vAlign w:val="bottom"/>
            <w:shd w:val="clear" w:color="auto" w:fill="EEEEEE"/>
          </w:tcPr>
          <w:p>
            <w:pPr>
              <w:jc w:val="right"/>
              <w:ind w:right="177"/>
              <w:spacing w:after="0"/>
              <w:rPr>
                <w:sz w:val="20"/>
                <w:szCs w:val="20"/>
                <w:color w:val="auto"/>
              </w:rPr>
            </w:pPr>
            <w:r>
              <w:rPr>
                <w:rFonts w:ascii="Times New Roman" w:cs="Times New Roman" w:eastAsia="Times New Roman" w:hAnsi="Times New Roman"/>
                <w:sz w:val="18"/>
                <w:szCs w:val="18"/>
                <w:color w:val="auto"/>
              </w:rPr>
              <w:t>3.98%</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Interest rate swaps based on US dollar</w:t>
            </w:r>
          </w:p>
        </w:tc>
        <w:tc>
          <w:tcPr>
            <w:tcW w:w="2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EEEEEE"/>
          </w:tcPr>
          <w:p>
            <w:pPr>
              <w:jc w:val="right"/>
              <w:ind w:right="2512"/>
              <w:spacing w:after="0"/>
              <w:rPr>
                <w:sz w:val="20"/>
                <w:szCs w:val="20"/>
                <w:color w:val="auto"/>
              </w:rPr>
            </w:pPr>
            <w:r>
              <w:rPr>
                <w:rFonts w:ascii="Times New Roman" w:cs="Times New Roman" w:eastAsia="Times New Roman" w:hAnsi="Times New Roman"/>
                <w:sz w:val="18"/>
                <w:szCs w:val="18"/>
                <w:color w:val="auto"/>
              </w:rPr>
              <w:t>LIBOR</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 (0.4)</w:t>
            </w:r>
          </w:p>
        </w:tc>
        <w:tc>
          <w:tcPr>
            <w:tcW w:w="1120" w:type="dxa"/>
            <w:vAlign w:val="bottom"/>
            <w:shd w:val="clear" w:color="auto" w:fill="EEEEEE"/>
          </w:tcPr>
          <w:p>
            <w:pPr>
              <w:jc w:val="right"/>
              <w:ind w:right="357"/>
              <w:spacing w:after="0"/>
              <w:rPr>
                <w:sz w:val="20"/>
                <w:szCs w:val="20"/>
                <w:color w:val="auto"/>
              </w:rPr>
            </w:pPr>
            <w:r>
              <w:rPr>
                <w:rFonts w:ascii="Times New Roman" w:cs="Times New Roman" w:eastAsia="Times New Roman" w:hAnsi="Times New Roman"/>
                <w:sz w:val="18"/>
                <w:szCs w:val="18"/>
                <w:color w:val="auto"/>
              </w:rPr>
              <w:t>$ (0.8)</w:t>
            </w:r>
          </w:p>
        </w:tc>
        <w:tc>
          <w:tcPr>
            <w:tcW w:w="1060" w:type="dxa"/>
            <w:vAlign w:val="bottom"/>
            <w:shd w:val="clear" w:color="auto" w:fill="EEEEEE"/>
          </w:tcPr>
          <w:p>
            <w:pPr>
              <w:jc w:val="right"/>
              <w:ind w:right="257"/>
              <w:spacing w:after="0"/>
              <w:rPr>
                <w:sz w:val="20"/>
                <w:szCs w:val="20"/>
                <w:color w:val="auto"/>
              </w:rPr>
            </w:pPr>
            <w:r>
              <w:rPr>
                <w:rFonts w:ascii="Times New Roman" w:cs="Times New Roman" w:eastAsia="Times New Roman" w:hAnsi="Times New Roman"/>
                <w:sz w:val="18"/>
                <w:szCs w:val="18"/>
                <w:color w:val="auto"/>
              </w:rPr>
              <w:t>$  (0.2)</w:t>
            </w:r>
          </w:p>
        </w:tc>
        <w:tc>
          <w:tcPr>
            <w:tcW w:w="96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EEEEE"/>
          </w:tcPr>
          <w:p>
            <w:pPr>
              <w:jc w:val="right"/>
              <w:ind w:right="275"/>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tcPr>
          <w:p>
            <w:pPr>
              <w:spacing w:after="0"/>
              <w:rPr>
                <w:sz w:val="19"/>
                <w:szCs w:val="19"/>
                <w:color w:val="auto"/>
              </w:rPr>
            </w:pP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0"/>
              </w:rPr>
              <w:t>3.53%</w:t>
            </w:r>
          </w:p>
        </w:tc>
        <w:tc>
          <w:tcPr>
            <w:tcW w:w="300" w:type="dxa"/>
            <w:vAlign w:val="bottom"/>
          </w:tcPr>
          <w:p>
            <w:pPr>
              <w:spacing w:after="0"/>
              <w:rPr>
                <w:sz w:val="19"/>
                <w:szCs w:val="19"/>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4"/>
              </w:rPr>
              <w:t>3.43%</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3.53%</w:t>
            </w: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3.55%</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jc w:val="right"/>
              <w:ind w:right="1532"/>
              <w:spacing w:after="0"/>
              <w:rPr>
                <w:sz w:val="20"/>
                <w:szCs w:val="20"/>
                <w:color w:val="auto"/>
              </w:rPr>
            </w:pPr>
            <w:r>
              <w:rPr>
                <w:rFonts w:ascii="Times New Roman" w:cs="Times New Roman" w:eastAsia="Times New Roman" w:hAnsi="Times New Roman"/>
                <w:sz w:val="14"/>
                <w:szCs w:val="14"/>
                <w:color w:val="auto"/>
              </w:rPr>
              <w:t>2003</w:t>
            </w:r>
          </w:p>
        </w:tc>
        <w:tc>
          <w:tcPr>
            <w:tcW w:w="200" w:type="dxa"/>
            <w:vAlign w:val="bottom"/>
          </w:tcPr>
          <w:p>
            <w:pPr>
              <w:spacing w:after="0"/>
              <w:rPr>
                <w:sz w:val="16"/>
                <w:szCs w:val="16"/>
                <w:color w:val="auto"/>
              </w:rPr>
            </w:pPr>
          </w:p>
        </w:tc>
        <w:tc>
          <w:tcPr>
            <w:tcW w:w="6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300" w:type="dxa"/>
            <w:vAlign w:val="bottom"/>
          </w:tcPr>
          <w:p>
            <w:pPr>
              <w:spacing w:after="0"/>
              <w:rPr>
                <w:sz w:val="16"/>
                <w:szCs w:val="16"/>
                <w:color w:val="auto"/>
              </w:rPr>
            </w:pPr>
          </w:p>
        </w:tc>
        <w:tc>
          <w:tcPr>
            <w:tcW w:w="6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2007</w:t>
            </w: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2008</w:t>
            </w: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After</w:t>
            </w:r>
          </w:p>
        </w:tc>
        <w:tc>
          <w:tcPr>
            <w:tcW w:w="560" w:type="dxa"/>
            <w:vAlign w:val="bottom"/>
          </w:tcPr>
          <w:p>
            <w:pPr>
              <w:spacing w:after="0"/>
              <w:rPr>
                <w:sz w:val="16"/>
                <w:szCs w:val="16"/>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20" w:type="dxa"/>
            <w:vAlign w:val="bottom"/>
          </w:tcPr>
          <w:p>
            <w:pPr>
              <w:spacing w:after="0"/>
              <w:rPr>
                <w:sz w:val="16"/>
                <w:szCs w:val="16"/>
                <w:color w:val="auto"/>
              </w:rPr>
            </w:pPr>
          </w:p>
        </w:tc>
        <w:tc>
          <w:tcPr>
            <w:tcW w:w="5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400.0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3"/>
              </w:rPr>
              <w:t>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w w:val="97"/>
              </w:rPr>
              <w:t>8.625%</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38.6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95"/>
              </w:rPr>
              <w:t>49.2</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$ 0.9</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$178.4</w:t>
            </w: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$59.4</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93"/>
              </w:rPr>
              <w:t>326.5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3"/>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w w:val="90"/>
              </w:rPr>
              <w:t>4.97%</w:t>
            </w:r>
          </w:p>
        </w:tc>
        <w:tc>
          <w:tcPr>
            <w:tcW w:w="3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w w:val="94"/>
              </w:rPr>
              <w:t>4.97%</w:t>
            </w:r>
          </w:p>
        </w:tc>
        <w:tc>
          <w:tcPr>
            <w:tcW w:w="960" w:type="dxa"/>
            <w:vAlign w:val="bottom"/>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120" w:type="dxa"/>
            <w:vAlign w:val="bottom"/>
            <w:shd w:val="clear" w:color="auto" w:fill="EEEEEE"/>
          </w:tcPr>
          <w:p>
            <w:pPr>
              <w:jc w:val="right"/>
              <w:ind w:right="77"/>
              <w:spacing w:after="0"/>
              <w:rPr>
                <w:sz w:val="20"/>
                <w:szCs w:val="20"/>
                <w:color w:val="auto"/>
              </w:rPr>
            </w:pPr>
            <w:r>
              <w:rPr>
                <w:rFonts w:ascii="Times New Roman" w:cs="Times New Roman" w:eastAsia="Times New Roman" w:hAnsi="Times New Roman"/>
                <w:sz w:val="18"/>
                <w:szCs w:val="18"/>
                <w:color w:val="auto"/>
              </w:rPr>
              <w:t>4.59%</w:t>
            </w:r>
          </w:p>
        </w:tc>
        <w:tc>
          <w:tcPr>
            <w:tcW w:w="1060" w:type="dxa"/>
            <w:vAlign w:val="bottom"/>
            <w:shd w:val="clear" w:color="auto" w:fill="EEEEEE"/>
          </w:tcPr>
          <w:p>
            <w:pPr>
              <w:jc w:val="right"/>
              <w:ind w:right="177"/>
              <w:spacing w:after="0"/>
              <w:rPr>
                <w:sz w:val="20"/>
                <w:szCs w:val="20"/>
                <w:color w:val="auto"/>
              </w:rPr>
            </w:pPr>
            <w:r>
              <w:rPr>
                <w:rFonts w:ascii="Times New Roman" w:cs="Times New Roman" w:eastAsia="Times New Roman" w:hAnsi="Times New Roman"/>
                <w:sz w:val="18"/>
                <w:szCs w:val="18"/>
                <w:color w:val="auto"/>
              </w:rPr>
              <w:t>4.59%</w:t>
            </w:r>
          </w:p>
        </w:tc>
        <w:tc>
          <w:tcPr>
            <w:tcW w:w="9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15"/>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Interest rate swaps based on US dollar</w:t>
            </w:r>
          </w:p>
        </w:tc>
        <w:tc>
          <w:tcPr>
            <w:tcW w:w="2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EEEEEE"/>
          </w:tcPr>
          <w:p>
            <w:pPr>
              <w:jc w:val="right"/>
              <w:ind w:right="2512"/>
              <w:spacing w:after="0"/>
              <w:rPr>
                <w:sz w:val="20"/>
                <w:szCs w:val="20"/>
                <w:color w:val="auto"/>
              </w:rPr>
            </w:pPr>
            <w:r>
              <w:rPr>
                <w:rFonts w:ascii="Times New Roman" w:cs="Times New Roman" w:eastAsia="Times New Roman" w:hAnsi="Times New Roman"/>
                <w:sz w:val="18"/>
                <w:szCs w:val="18"/>
                <w:color w:val="auto"/>
              </w:rPr>
              <w:t>LIBOR</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EEEEE"/>
          </w:tcPr>
          <w:p>
            <w:pPr>
              <w:jc w:val="right"/>
              <w:ind w:right="275"/>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200" w:type="dxa"/>
            <w:vAlign w:val="bottom"/>
          </w:tcPr>
          <w:p>
            <w:pPr>
              <w:spacing w:after="0"/>
              <w:rPr>
                <w:sz w:val="19"/>
                <w:szCs w:val="19"/>
                <w:color w:val="auto"/>
              </w:rPr>
            </w:pP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0"/>
              </w:rPr>
              <w:t>5.18%</w:t>
            </w:r>
          </w:p>
        </w:tc>
        <w:tc>
          <w:tcPr>
            <w:tcW w:w="300" w:type="dxa"/>
            <w:vAlign w:val="bottom"/>
          </w:tcPr>
          <w:p>
            <w:pPr>
              <w:spacing w:after="0"/>
              <w:rPr>
                <w:sz w:val="19"/>
                <w:szCs w:val="19"/>
                <w:color w:val="auto"/>
              </w:rPr>
            </w:pPr>
          </w:p>
        </w:tc>
        <w:tc>
          <w:tcPr>
            <w:tcW w:w="6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94"/>
              </w:rPr>
              <w:t>3.76%</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Risks</w:t>
      </w:r>
    </w:p>
    <w:p>
      <w:pPr>
        <w:spacing w:after="0" w:line="254" w:lineRule="exact"/>
        <w:rPr>
          <w:sz w:val="20"/>
          <w:szCs w:val="20"/>
          <w:color w:val="auto"/>
        </w:rPr>
      </w:pPr>
    </w:p>
    <w:p>
      <w:pPr>
        <w:ind w:right="100" w:firstLine="270"/>
        <w:spacing w:after="0" w:line="296" w:lineRule="auto"/>
        <w:rPr>
          <w:sz w:val="20"/>
          <w:szCs w:val="20"/>
          <w:color w:val="auto"/>
        </w:rPr>
      </w:pPr>
      <w:r>
        <w:rPr>
          <w:rFonts w:ascii="Times New Roman" w:cs="Times New Roman" w:eastAsia="Times New Roman" w:hAnsi="Times New Roman"/>
          <w:sz w:val="16"/>
          <w:szCs w:val="16"/>
          <w:color w:val="auto"/>
        </w:rPr>
        <w:t>Our market risk associated with foreign currency rates is not considered to be material. Through fiscal 2004,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6"/>
          <w:szCs w:val="16"/>
          <w:b w:val="1"/>
          <w:bCs w:val="1"/>
          <w:u w:val="single" w:color="auto"/>
          <w:color w:val="auto"/>
        </w:rPr>
        <w:t>FINANCIAL STATEMENTS AND SUPPLEMENTARY DATA</w:t>
      </w:r>
    </w:p>
    <w:p>
      <w:pPr>
        <w:spacing w:after="0" w:line="254" w:lineRule="exact"/>
        <w:rPr>
          <w:sz w:val="20"/>
          <w:szCs w:val="20"/>
          <w:color w:val="auto"/>
        </w:rPr>
      </w:pPr>
    </w:p>
    <w:p>
      <w:pPr>
        <w:ind w:right="100" w:firstLine="270"/>
        <w:spacing w:after="0" w:line="275" w:lineRule="auto"/>
        <w:rPr>
          <w:sz w:val="20"/>
          <w:szCs w:val="20"/>
          <w:color w:val="auto"/>
        </w:rPr>
      </w:pPr>
      <w:r>
        <w:rPr>
          <w:rFonts w:ascii="Times New Roman" w:cs="Times New Roman" w:eastAsia="Times New Roman" w:hAnsi="Times New Roman"/>
          <w:sz w:val="18"/>
          <w:szCs w:val="18"/>
          <w:color w:val="auto"/>
        </w:rPr>
        <w:t>The financial statements and other information required by this Item are contained in the consolidated financial statements, notes thereto and schedules listed in the “Index to Consolidated Financial Statements and Financial Statement Schedule” on page 47 herein.</w:t>
      </w: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6"/>
          <w:szCs w:val="16"/>
          <w:b w:val="1"/>
          <w:bCs w:val="1"/>
          <w:u w:val="single" w:color="auto"/>
          <w:color w:val="auto"/>
        </w:rPr>
        <w:t>CHANGES IN AND DISAGREEMENTS WITH ACCOUNTANTS ON ACCOUNTING AND FINANCIAL DISCLOSURE</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9" w:name="page40"/>
    <w:bookmarkEnd w:id="39"/>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9A.</w:t>
      </w:r>
      <w:r>
        <w:rPr>
          <w:sz w:val="20"/>
          <w:szCs w:val="20"/>
          <w:color w:val="auto"/>
        </w:rPr>
        <w:tab/>
      </w:r>
      <w:r>
        <w:rPr>
          <w:rFonts w:ascii="Times New Roman" w:cs="Times New Roman" w:eastAsia="Times New Roman" w:hAnsi="Times New Roman"/>
          <w:sz w:val="16"/>
          <w:szCs w:val="16"/>
          <w:b w:val="1"/>
          <w:bCs w:val="1"/>
          <w:u w:val="single" w:color="auto"/>
          <w:color w:val="auto"/>
        </w:rPr>
        <w:t>CONTROLS AND PROCEDURES</w:t>
      </w:r>
    </w:p>
    <w:p>
      <w:pPr>
        <w:spacing w:after="0" w:line="254"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principal financial officer of The Scotts Company (the “Registrant”), the Registrant’s management has evaluated the effectiveness of the Registrant’s disclosure controls and procedures (as defined in Rule 13a-15(e) under the Securities Exchange Act of 1934, as amended (the “Exchange Act”), as of the end of the period covered by this Annual Report on Form 10-K. Based upon that evaluation, the Registrant’s principal executive officer and principal financial officer have concluded that:</w:t>
      </w:r>
    </w:p>
    <w:p>
      <w:pPr>
        <w:spacing w:after="0" w:line="190" w:lineRule="exact"/>
        <w:rPr>
          <w:sz w:val="20"/>
          <w:szCs w:val="20"/>
          <w:color w:val="auto"/>
        </w:rPr>
      </w:pPr>
    </w:p>
    <w:p>
      <w:pPr>
        <w:ind w:left="460" w:right="160" w:hanging="101"/>
        <w:spacing w:after="0" w:line="26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213" w:lineRule="exact"/>
        <w:rPr>
          <w:rFonts w:ascii="Times New Roman" w:cs="Times New Roman" w:eastAsia="Times New Roman" w:hAnsi="Times New Roman"/>
          <w:sz w:val="18"/>
          <w:szCs w:val="18"/>
          <w:color w:val="auto"/>
        </w:rPr>
      </w:pPr>
    </w:p>
    <w:p>
      <w:pPr>
        <w:ind w:left="460" w:right="160" w:hanging="101"/>
        <w:spacing w:after="0" w:line="275"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200" w:lineRule="exact"/>
        <w:rPr>
          <w:rFonts w:ascii="Times New Roman" w:cs="Times New Roman" w:eastAsia="Times New Roman" w:hAnsi="Times New Roman"/>
          <w:sz w:val="18"/>
          <w:szCs w:val="18"/>
          <w:color w:val="auto"/>
        </w:rPr>
      </w:pPr>
    </w:p>
    <w:p>
      <w:pPr>
        <w:ind w:left="460" w:right="360" w:hanging="101"/>
        <w:spacing w:after="0" w:line="26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disclosure controls and procedures are effective as of the end of the period covered by this Annual Report on Form 10-K to ensure that material information relating to the Registrant and its consolidated subsidiaries is made known to them, particularly during the period in which the Registrant’s periodic reports, including this Annual Report on Form 10-K, are being prepared.</w:t>
      </w:r>
    </w:p>
    <w:p>
      <w:pPr>
        <w:spacing w:after="0" w:line="213" w:lineRule="exact"/>
        <w:rPr>
          <w:sz w:val="20"/>
          <w:szCs w:val="20"/>
          <w:color w:val="auto"/>
        </w:rPr>
      </w:pPr>
    </w:p>
    <w:p>
      <w:pPr>
        <w:ind w:right="340" w:firstLine="324"/>
        <w:spacing w:after="0" w:line="262" w:lineRule="auto"/>
        <w:rPr>
          <w:sz w:val="20"/>
          <w:szCs w:val="20"/>
          <w:color w:val="auto"/>
        </w:rPr>
      </w:pPr>
      <w:r>
        <w:rPr>
          <w:rFonts w:ascii="Times New Roman" w:cs="Times New Roman" w:eastAsia="Times New Roman" w:hAnsi="Times New Roman"/>
          <w:sz w:val="18"/>
          <w:szCs w:val="18"/>
          <w:color w:val="auto"/>
        </w:rPr>
        <w:t>In addition, there were no changes in the Registrant’s internal control over financial reporting (as defined in Rule 13a-15(f) under the Exchange Act) that occurred during the Registrant’s fiscal quarter ended September 30, 2004,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6"/>
          <w:szCs w:val="16"/>
          <w:b w:val="1"/>
          <w:bCs w:val="1"/>
          <w:u w:val="single" w:color="auto"/>
          <w:color w:val="auto"/>
        </w:rPr>
        <w:t>OTHER INFORMATION</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AND EXECUTIVE OFFICERS OF THE REGISTRANT</w:t>
      </w:r>
    </w:p>
    <w:p>
      <w:pPr>
        <w:spacing w:after="0" w:line="254" w:lineRule="exact"/>
        <w:rPr>
          <w:sz w:val="20"/>
          <w:szCs w:val="20"/>
          <w:color w:val="auto"/>
        </w:rPr>
      </w:pPr>
    </w:p>
    <w:p>
      <w:pPr>
        <w:ind w:right="140" w:firstLine="270"/>
        <w:spacing w:after="0" w:line="254" w:lineRule="auto"/>
        <w:rPr>
          <w:sz w:val="20"/>
          <w:szCs w:val="20"/>
          <w:color w:val="auto"/>
        </w:rPr>
      </w:pPr>
      <w:r>
        <w:rPr>
          <w:rFonts w:ascii="Times New Roman" w:cs="Times New Roman" w:eastAsia="Times New Roman" w:hAnsi="Times New Roman"/>
          <w:sz w:val="18"/>
          <w:szCs w:val="18"/>
          <w:color w:val="auto"/>
        </w:rPr>
        <w:t>In accordance with General Instruction G(3) of Form 10-K, the information regarding directors required by Item 401 of SEC Regulation S-K is incorporated herein by reference from the material which will be included under the caption “PROPOSAL NUMBER 1 — ELECTION OF DIRECTORS” in the Registrant’s definitive Proxy Statement for the 2005 Annual Meeting of Shareholders to be held on January 27, 2005 to be filed with the SEC pursuant to a Registration Statement on Form S-4 pursuant to the Securities Act of 1933 and the Securities Exchange Act of 1934 (the “Proxy Statement”). The information regarding executive officers of the Registrant required by Item 401 of SEC Regulation S-K is included in “SUPPLEMENTAL ITEM. EXECUTIVE OFFICERS OF THE REGISTRANT.” The information required by Item 405 of SEC Regulation S-K is incorporated herein by reference from the material which will be included under the caption “BENEFICIAL OWNERSHIP OF SECURITIES OF SCOTTS — Section 16(a) Beneficial Ownership Reporting Compliance” in the Registrant’s Proxy Statement.</w:t>
      </w:r>
    </w:p>
    <w:p>
      <w:pPr>
        <w:spacing w:after="0" w:line="2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Information concerning the Registrant’s Audit Committee and the determination by the Registrant’s Board of Directors that at least one member of the Audit Committee qualifies as an “audit committee financial expert” is incorporated herein by reference from the information which will be included under the caption “PROPOSAL NUMBER 1 — ELECTION OF DIRECTORS — Committees and Meetings of the Board — Audit Committee” in the Registrant’s Proxy Statement. Information concerning the nomination process for director candidates is incorporated herein by reference from the information which will be included under the captions “PROPOSAL NUMBER 1 — ELECTION OF DIRECTORS — Committees and Meetings of the Board — Governance and Nominating Committee” and “PROPOSAL NUMBER 1 — ELECTION OF DIRECTORS — Nomination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7" w:right="239" w:bottom="1440" w:gutter="0" w:footer="0" w:header="0"/>
        </w:sectPr>
      </w:pPr>
    </w:p>
    <w:bookmarkStart w:id="40" w:name="page41"/>
    <w:bookmarkEnd w:id="40"/>
    <w:p>
      <w:pPr>
        <w:ind w:right="940" w:firstLine="324"/>
        <w:spacing w:after="0" w:line="275" w:lineRule="auto"/>
        <w:rPr>
          <w:sz w:val="20"/>
          <w:szCs w:val="20"/>
          <w:color w:val="auto"/>
        </w:rPr>
      </w:pPr>
      <w:r>
        <w:rPr>
          <w:rFonts w:ascii="Times New Roman" w:cs="Times New Roman" w:eastAsia="Times New Roman" w:hAnsi="Times New Roman"/>
          <w:sz w:val="18"/>
          <w:szCs w:val="18"/>
          <w:color w:val="auto"/>
        </w:rPr>
        <w:t>The Board of Directors of the Registrant has adopted charters for each of the Audit Committee, the Governance and Nominating Committee, the Compensation and Organization Committee and the Innovation &amp; Technology Committee.</w:t>
      </w:r>
    </w:p>
    <w:p>
      <w:pPr>
        <w:spacing w:after="0" w:line="20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requirements of Section 303A.10 of the New York Stock Exchange’s Listed Company Manual, the Board of Directors of the Registrant has adopted a Code of Business Conduct and Ethics covering the Registrant’s Board members and associates, including, without limitation, the Registrant’s principal executive officer, principal financial officer and principal accounting officer. The Registrant intends to disclose the following on its Internet website located at http://www.investor.scotts.com within four business days following their occurrence: (A) the date and nature of any amendment to a provision of its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 functions that relates to one or more of the items set forth in Item 406(b) of SEC Regulation S-K.</w:t>
      </w:r>
    </w:p>
    <w:p>
      <w:pPr>
        <w:spacing w:after="0" w:line="22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text of the Code of Business Conduct and Ethics, the Registrant’s Corporate Governance Guidelines, the Audit Committee charter, the Governance and Nominating Committee charter and the Compensation and Organization Committee charter are posted on the Registrant’s Internet website located at http://www.investor.scotts.com. Interested persons may also obtain copies of each of these documents without charge by writing to The Scotts Company, Attention: Corporate Secretary, 14111 Scottslawn Road, Marysville, Ohio 43041. In addition, a copy of the Code of Business Conduct and Ethics is incorporated by reference in Exhibit 14 to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54" w:lineRule="exact"/>
        <w:rPr>
          <w:sz w:val="20"/>
          <w:szCs w:val="20"/>
          <w:color w:val="auto"/>
        </w:rPr>
      </w:pPr>
    </w:p>
    <w:p>
      <w:pPr>
        <w:ind w:right="140" w:firstLine="270"/>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G(3) of Form 10-K, the information contained under the captions “EXECUTIVE COMPENSATION — Summary of Cash and Other Compensation, — Option/ SAR Grants in 2004 Fiscal Year, — Option Exercises in 2004 Fiscal Year and 2004 Fiscal Year-End Option/ SAR Values, — Executive Retirement Plan, — Pension Plans, and — Employment Agreements and Termination of Employment and Change-in-Control Arrangements” and “PROPOSAL NUMBER 1 — ELECTION OF DIRECTORS — Compensation of Directors” in the Registrant’s Proxy Statement is incorporated herein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w:t>
      </w:r>
    </w:p>
    <w:p>
      <w:pPr>
        <w:spacing w:after="0" w:line="254" w:lineRule="exact"/>
        <w:rPr>
          <w:sz w:val="20"/>
          <w:szCs w:val="20"/>
          <w:color w:val="auto"/>
        </w:rPr>
      </w:pPr>
    </w:p>
    <w:p>
      <w:pPr>
        <w:jc w:val="both"/>
        <w:ind w:right="180" w:firstLine="270"/>
        <w:spacing w:after="0" w:line="262" w:lineRule="auto"/>
        <w:rPr>
          <w:sz w:val="20"/>
          <w:szCs w:val="20"/>
          <w:color w:val="auto"/>
        </w:rPr>
      </w:pPr>
      <w:r>
        <w:rPr>
          <w:rFonts w:ascii="Times New Roman" w:cs="Times New Roman" w:eastAsia="Times New Roman" w:hAnsi="Times New Roman"/>
          <w:sz w:val="18"/>
          <w:szCs w:val="18"/>
          <w:color w:val="auto"/>
        </w:rPr>
        <w:t>In accordance with General Instruction G(3) of Form 10-K, the information contained under the captions “BENEFICIAL OWNERSHIP OF SECURITIES OF SCOTTS” and “EXECUTIVE COMPENSATION — Equity Compensation Plan Information” in the Registrant’s Proxy Statement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w:t>
      </w:r>
    </w:p>
    <w:p>
      <w:pPr>
        <w:spacing w:after="0" w:line="254" w:lineRule="exact"/>
        <w:rPr>
          <w:sz w:val="20"/>
          <w:szCs w:val="20"/>
          <w:color w:val="auto"/>
        </w:rPr>
      </w:pPr>
    </w:p>
    <w:p>
      <w:pPr>
        <w:jc w:val="both"/>
        <w:ind w:right="260" w:firstLine="270"/>
        <w:spacing w:after="0" w:line="262" w:lineRule="auto"/>
        <w:rPr>
          <w:sz w:val="20"/>
          <w:szCs w:val="20"/>
          <w:color w:val="auto"/>
        </w:rPr>
      </w:pPr>
      <w:r>
        <w:rPr>
          <w:rFonts w:ascii="Times New Roman" w:cs="Times New Roman" w:eastAsia="Times New Roman" w:hAnsi="Times New Roman"/>
          <w:sz w:val="18"/>
          <w:szCs w:val="18"/>
          <w:color w:val="auto"/>
        </w:rPr>
        <w:t>In accordance with General Instruction G(3) of Form 10-K, the information contained under the captions “BENEFICIAL OWNERSHIP OF SECURITIES OF SCOTTS”, “PROPOSAL NUMBER 1 — ELECTION OF DIRECTORS” and “CERTAIN RELATIONSHIPS AND RELATED TRANSACTIONS” in the Registrant’s Proxy Statement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254" w:lineRule="exact"/>
        <w:rPr>
          <w:sz w:val="20"/>
          <w:szCs w:val="20"/>
          <w:color w:val="auto"/>
        </w:rPr>
      </w:pPr>
    </w:p>
    <w:p>
      <w:pPr>
        <w:ind w:right="140" w:firstLine="270"/>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G(3) of Form 10-K, the information contained under the captions “AUDIT COMMITTEE MATTERS — Fees of the Independent Registered Public Accounting Firm and — THE SCOTTS COMPANY THE AUDIT COMMITTEE POLICIES AND PROCEDURES REGARDING APPROVAL OF SERVICES PROVIDED BY THE INDEPENDENT AUDITOR” in the Registrant’s Proxy Statement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254" w:lineRule="exact"/>
        <w:rPr>
          <w:sz w:val="20"/>
          <w:szCs w:val="20"/>
          <w:color w:val="auto"/>
        </w:rPr>
      </w:pPr>
    </w:p>
    <w:p>
      <w:pPr>
        <w:ind w:left="520" w:hanging="24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5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Financial Statements and Financial Statement Schedule:</w:t>
      </w:r>
    </w:p>
    <w:p>
      <w:pPr>
        <w:spacing w:after="0" w:line="252" w:lineRule="exact"/>
        <w:rPr>
          <w:sz w:val="20"/>
          <w:szCs w:val="20"/>
          <w:color w:val="auto"/>
        </w:rPr>
      </w:pPr>
    </w:p>
    <w:p>
      <w:pPr>
        <w:ind w:left="360" w:right="480" w:firstLine="324"/>
        <w:spacing w:after="0" w:line="275" w:lineRule="auto"/>
        <w:rPr>
          <w:sz w:val="20"/>
          <w:szCs w:val="20"/>
          <w:color w:val="auto"/>
        </w:rPr>
      </w:pPr>
      <w:r>
        <w:rPr>
          <w:rFonts w:ascii="Times New Roman" w:cs="Times New Roman" w:eastAsia="Times New Roman" w:hAnsi="Times New Roman"/>
          <w:sz w:val="18"/>
          <w:szCs w:val="18"/>
          <w:color w:val="auto"/>
        </w:rPr>
        <w:t>The response to this portion of Item 15 is submitted as a separate section of this Annual Report on Form 10-K. Reference is made to the “Index to Consolidated Financial Statements and Financial Statement Schedule” on page 47 herein.</w:t>
      </w:r>
    </w:p>
    <w:p>
      <w:pPr>
        <w:spacing w:after="0" w:line="201" w:lineRule="exact"/>
        <w:rPr>
          <w:sz w:val="20"/>
          <w:szCs w:val="20"/>
          <w:color w:val="auto"/>
        </w:rPr>
      </w:pPr>
    </w:p>
    <w:p>
      <w:pPr>
        <w:ind w:left="680" w:hanging="348"/>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360" w:firstLine="324"/>
        <w:spacing w:after="0" w:line="262" w:lineRule="auto"/>
        <w:rPr>
          <w:sz w:val="20"/>
          <w:szCs w:val="20"/>
          <w:color w:val="auto"/>
        </w:rPr>
      </w:pPr>
      <w:r>
        <w:rPr>
          <w:rFonts w:ascii="Times New Roman" w:cs="Times New Roman" w:eastAsia="Times New Roman" w:hAnsi="Times New Roman"/>
          <w:sz w:val="18"/>
          <w:szCs w:val="18"/>
          <w:color w:val="auto"/>
        </w:rPr>
        <w:t>Exhibits filed with this Annual Report on Form 10-K are attached hereto or incorporated herein by reference. For a list of such exhibits, see “Index to Exhibits” beginning at page 100. The following table provides certain information concerning executive compensation plans and arrangements required to be filed as exhibits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COMPENSATORY PLANS AND ARRANGEMENTS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Exhibit</w:t>
            </w:r>
          </w:p>
        </w:tc>
        <w:tc>
          <w:tcPr>
            <w:tcW w:w="4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78"/>
        </w:trPr>
        <w:tc>
          <w:tcPr>
            <w:tcW w:w="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6480" w:type="dxa"/>
            <w:vAlign w:val="bottom"/>
            <w:gridSpan w:val="3"/>
          </w:tcPr>
          <w:p>
            <w:pPr>
              <w:ind w:left="2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95"/>
        </w:trPr>
        <w:tc>
          <w:tcPr>
            <w:tcW w:w="980" w:type="dxa"/>
            <w:vAlign w:val="bottom"/>
            <w:tcBorders>
              <w:bottom w:val="single" w:sz="8" w:color="808080"/>
            </w:tcBorders>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r>
      <w:tr>
        <w:trPr>
          <w:trHeight w:val="3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10(a)(1)</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O.M. Scott &amp; Sons Company Excess Benefit Plan, effective October 1, 1993</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Annual</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 on Form 10-K for the fiscal year ended</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1993, of The Scotts Company, a</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 corporation (File No. 0-19768)</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10(h)]</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10(a)(2)</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First Amendment to The O.M. Scott &amp; Sons Company Excess Benefit Plan, effective</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of January 1, 1998</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Report on Form 10-K for the fiscal year</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ended September 30, 2001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10(a)(2)]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10(a)(3)</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Second Amendment to The O.M. Scott &amp; Sons Company Excess Benefit Plan,</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effective as of January 1, 1999</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Report on Form 10-K for the fiscal year</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ended September 30, 2001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10(a)(3)]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10(b)(1)</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Scotts Company 1992 Long Term Incentive Plan (as amended through May 15,</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2000)</w:t>
            </w: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ended April 1, 2000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10(b)]</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10(b)(2)</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Scotts Company 1992 Long Term Incentive Plan (2002 Amendment)</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period ended December 28, 2002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10(b)(i)]</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Scotts Company Executive Annual Incentive Plan</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Report on Form 10-K for the fiscal year</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ended September 30, 2001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10(c)]</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10(d)(1)</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Scotts Company 1996 Stock Option Plan (as amended through May 15, 2000)</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 ended April 1, 2000 (File No. 1-13292)</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10(d)]</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10(d)(2)</w:t>
            </w:r>
          </w:p>
        </w:tc>
        <w:tc>
          <w:tcPr>
            <w:tcW w:w="6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Scotts Company 1996 Stock Option Plan (2002 Amendment)</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r>
      <w:tr>
        <w:trPr>
          <w:trHeight w:val="216"/>
        </w:trPr>
        <w:tc>
          <w:tcPr>
            <w:tcW w:w="9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period ended December 28, 2002 (File No. 1-13292)</w:t>
            </w:r>
          </w:p>
        </w:tc>
      </w:tr>
      <w:tr>
        <w:trPr>
          <w:trHeight w:val="228"/>
        </w:trPr>
        <w:tc>
          <w:tcPr>
            <w:tcW w:w="9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10(d)(i)]</w:t>
            </w:r>
          </w:p>
        </w:tc>
      </w:tr>
      <w:tr>
        <w:trPr>
          <w:trHeight w:val="110"/>
        </w:trPr>
        <w:tc>
          <w:tcPr>
            <w:tcW w:w="9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3960" w:type="dxa"/>
            <w:vAlign w:val="bottom"/>
          </w:tcPr>
          <w:p>
            <w:pPr>
              <w:spacing w:after="0"/>
              <w:rPr>
                <w:sz w:val="9"/>
                <w:szCs w:val="9"/>
                <w:color w:val="auto"/>
              </w:rPr>
            </w:pPr>
          </w:p>
        </w:tc>
      </w:tr>
      <w:tr>
        <w:trPr>
          <w:trHeight w:val="316"/>
        </w:trPr>
        <w:tc>
          <w:tcPr>
            <w:tcW w:w="980" w:type="dxa"/>
            <w:vAlign w:val="bottom"/>
          </w:tcPr>
          <w:p>
            <w:pPr>
              <w:spacing w:after="0"/>
              <w:rPr>
                <w:sz w:val="24"/>
                <w:szCs w:val="24"/>
                <w:color w:val="auto"/>
              </w:rPr>
            </w:pPr>
          </w:p>
        </w:tc>
        <w:tc>
          <w:tcPr>
            <w:tcW w:w="5040" w:type="dxa"/>
            <w:vAlign w:val="bottom"/>
            <w:gridSpan w:val="2"/>
          </w:tcPr>
          <w:p>
            <w:pPr>
              <w:ind w:left="4640"/>
              <w:spacing w:after="0"/>
              <w:rPr>
                <w:sz w:val="20"/>
                <w:szCs w:val="20"/>
                <w:color w:val="auto"/>
              </w:rPr>
            </w:pPr>
            <w:r>
              <w:rPr>
                <w:rFonts w:ascii="Times New Roman" w:cs="Times New Roman" w:eastAsia="Times New Roman" w:hAnsi="Times New Roman"/>
                <w:sz w:val="18"/>
                <w:szCs w:val="18"/>
                <w:b w:val="1"/>
                <w:bCs w:val="1"/>
                <w:color w:val="auto"/>
              </w:rPr>
              <w:t>42</w:t>
            </w:r>
          </w:p>
        </w:tc>
        <w:tc>
          <w:tcPr>
            <w:tcW w:w="14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3" w:name="page44"/>
    <w:bookmarkEnd w:id="43"/>
    <w:p>
      <w:pPr>
        <w:ind w:left="22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20"/>
        <w:spacing w:after="0"/>
        <w:tabs>
          <w:tab w:leader="none" w:pos="3900" w:val="left"/>
          <w:tab w:leader="none" w:pos="92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153" w:right="37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Specimen form of Stock Option Agreement (as amended through October 23, 2001) for</w:t>
            </w:r>
          </w:p>
        </w:tc>
      </w:tr>
      <w:tr>
        <w:trPr>
          <w:trHeight w:val="216"/>
        </w:trPr>
        <w:tc>
          <w:tcPr>
            <w:tcW w:w="880" w:type="dxa"/>
            <w:vAlign w:val="bottom"/>
          </w:tcPr>
          <w:p>
            <w:pPr>
              <w:spacing w:after="0"/>
              <w:rPr>
                <w:sz w:val="18"/>
                <w:szCs w:val="18"/>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Non-Qualified Stock Options granted to employees under The Scotts Company 1996</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Option Plan, U.S. specimen</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Specimen form of Stock Option Agreement (as amended through October 23, 2001) for</w:t>
            </w:r>
          </w:p>
        </w:tc>
      </w:tr>
      <w:tr>
        <w:trPr>
          <w:trHeight w:val="216"/>
        </w:trPr>
        <w:tc>
          <w:tcPr>
            <w:tcW w:w="880" w:type="dxa"/>
            <w:vAlign w:val="bottom"/>
          </w:tcPr>
          <w:p>
            <w:pPr>
              <w:spacing w:after="0"/>
              <w:rPr>
                <w:sz w:val="18"/>
                <w:szCs w:val="18"/>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Non-Qualified Stock Options granted to employees under The Scotts Company 1996</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Option Plan, French specimen</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10(g)(1)</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Scotts Company Executive Retirement Plan</w:t>
            </w:r>
          </w:p>
        </w:tc>
      </w:tr>
      <w:tr>
        <w:trPr>
          <w:trHeight w:val="8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10(g)(2)</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First Amendment to The Scotts Company Executive Retirement Plan, effective as of</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January 1, 1999</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10(g)(3)</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Second Amendment to The Scotts Company Executive Retirement Plan, effective as of</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January 1, 2000</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10(g)(4)</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Third Amendment to The Scotts Company Executive Retirement Plan, effective as of</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January 1, 2003</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10(g)(5)</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Fourth Amendment to The Scotts Company Executive Retirement Plan, effective as of</w:t>
            </w:r>
          </w:p>
        </w:tc>
      </w:tr>
      <w:tr>
        <w:trPr>
          <w:trHeight w:val="216"/>
        </w:trPr>
        <w:tc>
          <w:tcPr>
            <w:tcW w:w="880" w:type="dxa"/>
            <w:vAlign w:val="bottom"/>
          </w:tcPr>
          <w:p>
            <w:pPr>
              <w:spacing w:after="0"/>
              <w:rPr>
                <w:sz w:val="18"/>
                <w:szCs w:val="18"/>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January 1, 2004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10(h)</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Employment Agreement, dated as of May 19, 1995, between the Registrant and James</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Hagedorn</w:t>
            </w: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10(i)</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Letter agreement, dated June 8, 2000, between the Registrant and Patrick J. Norton</w:t>
            </w:r>
          </w:p>
        </w:tc>
      </w:tr>
      <w:tr>
        <w:trPr>
          <w:trHeight w:val="8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10(j)</w:t>
            </w: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Letter agreement, dated November 5, 2002, pertaining to the terms of employment of</w:t>
            </w:r>
          </w:p>
        </w:tc>
      </w:tr>
      <w:tr>
        <w:trPr>
          <w:trHeight w:val="216"/>
        </w:trPr>
        <w:tc>
          <w:tcPr>
            <w:tcW w:w="880" w:type="dxa"/>
            <w:vAlign w:val="bottom"/>
          </w:tcPr>
          <w:p>
            <w:pPr>
              <w:spacing w:after="0"/>
              <w:rPr>
                <w:sz w:val="18"/>
                <w:szCs w:val="18"/>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Mr. Norton through December 31, 2005, and superseding certain provisions of the</w:t>
            </w:r>
          </w:p>
        </w:tc>
      </w:tr>
      <w:tr>
        <w:trPr>
          <w:trHeight w:val="228"/>
        </w:trPr>
        <w:tc>
          <w:tcPr>
            <w:tcW w:w="880" w:type="dxa"/>
            <w:vAlign w:val="bottom"/>
          </w:tcPr>
          <w:p>
            <w:pPr>
              <w:spacing w:after="0"/>
              <w:rPr>
                <w:sz w:val="19"/>
                <w:szCs w:val="19"/>
                <w:color w:val="auto"/>
              </w:rPr>
            </w:pPr>
          </w:p>
        </w:tc>
        <w:tc>
          <w:tcPr>
            <w:tcW w:w="6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letter agreement, dated June 8, 2000, between the Registrant and Mr. Norton</w:t>
            </w:r>
          </w:p>
        </w:tc>
      </w:tr>
      <w:tr>
        <w:trPr>
          <w:trHeight w:val="326"/>
        </w:trPr>
        <w:tc>
          <w:tcPr>
            <w:tcW w:w="8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300" w:type="dxa"/>
            <w:vAlign w:val="bottom"/>
          </w:tcPr>
          <w:p>
            <w:pPr>
              <w:spacing w:after="0"/>
              <w:rPr>
                <w:sz w:val="24"/>
                <w:szCs w:val="24"/>
                <w:color w:val="auto"/>
              </w:rPr>
            </w:pPr>
          </w:p>
        </w:tc>
      </w:tr>
      <w:tr>
        <w:trPr>
          <w:trHeight w:val="316"/>
        </w:trPr>
        <w:tc>
          <w:tcPr>
            <w:tcW w:w="880" w:type="dxa"/>
            <w:vAlign w:val="bottom"/>
          </w:tcPr>
          <w:p>
            <w:pPr>
              <w:spacing w:after="0"/>
              <w:rPr>
                <w:sz w:val="24"/>
                <w:szCs w:val="24"/>
                <w:color w:val="auto"/>
              </w:rPr>
            </w:pPr>
          </w:p>
        </w:tc>
        <w:tc>
          <w:tcPr>
            <w:tcW w:w="5140" w:type="dxa"/>
            <w:vAlign w:val="bottom"/>
            <w:gridSpan w:val="2"/>
          </w:tcPr>
          <w:p>
            <w:pPr>
              <w:ind w:left="4740"/>
              <w:spacing w:after="0"/>
              <w:rPr>
                <w:sz w:val="20"/>
                <w:szCs w:val="20"/>
                <w:color w:val="auto"/>
              </w:rPr>
            </w:pPr>
            <w:r>
              <w:rPr>
                <w:rFonts w:ascii="Times New Roman" w:cs="Times New Roman" w:eastAsia="Times New Roman" w:hAnsi="Times New Roman"/>
                <w:sz w:val="18"/>
                <w:szCs w:val="18"/>
                <w:b w:val="1"/>
                <w:bCs w:val="1"/>
                <w:color w:val="auto"/>
              </w:rPr>
              <w:t>43</w:t>
            </w: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10(e)]</w:t>
      </w: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10(f)]</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1998 (File No. 1-11593) [Exhibit 10(j)]</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10(g)(2)]</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10(g)(3)]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herein by reference to the Registrant’s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fiscal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2003 (File No. 1-13292)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1995 (File No. 1-11593) [Exhibit 10(p)]</w:t>
      </w: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2000 (File No. 1-13292) [Exhibit 10(q)]</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2002 (File No. 1-13292) [Exhibit 10(q)]</w:t>
      </w:r>
    </w:p>
    <w:p>
      <w:pPr>
        <w:sectPr>
          <w:pgSz w:w="11900" w:h="16838" w:orient="portrait"/>
          <w:cols w:equalWidth="0" w:num="2">
            <w:col w:w="7320" w:space="340"/>
            <w:col w:w="3620"/>
          </w:cols>
          <w:pgMar w:left="240" w:top="1153" w:right="379" w:bottom="1440" w:gutter="0" w:footer="0" w:header="0"/>
          <w:type w:val="continuous"/>
        </w:sectPr>
      </w:pPr>
    </w:p>
    <w:bookmarkStart w:id="44" w:name="page45"/>
    <w:bookmarkEnd w:id="44"/>
    <w:p>
      <w:pPr>
        <w:ind w:left="26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60"/>
        <w:spacing w:after="0"/>
        <w:tabs>
          <w:tab w:leader="none" w:pos="3940" w:val="left"/>
          <w:tab w:leader="none" w:pos="92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53" w:right="29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Written description of employment terms between the Registrant and David M.</w:t>
            </w:r>
          </w:p>
        </w:tc>
      </w:tr>
      <w:tr>
        <w:trPr>
          <w:trHeight w:val="228"/>
        </w:trPr>
        <w:tc>
          <w:tcPr>
            <w:tcW w:w="860" w:type="dxa"/>
            <w:vAlign w:val="bottom"/>
          </w:tcPr>
          <w:p>
            <w:pPr>
              <w:spacing w:after="0"/>
              <w:rPr>
                <w:sz w:val="19"/>
                <w:szCs w:val="19"/>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Aronowitz, Michael P. Kelty, Ph.D., Christopher L. Nagel and Denise S. Stump</w:t>
            </w:r>
          </w:p>
        </w:tc>
      </w:tr>
      <w:tr>
        <w:trPr>
          <w:trHeight w:val="64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Scotts Company 2003 Stock Option and Incentive Equity Plan</w:t>
            </w:r>
          </w:p>
        </w:tc>
      </w:tr>
      <w:tr>
        <w:trPr>
          <w:trHeight w:val="85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10(m)</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Letter agreement, dated April 23, 2003, between the Registrant and Robert F.</w:t>
            </w:r>
          </w:p>
        </w:tc>
      </w:tr>
      <w:tr>
        <w:trPr>
          <w:trHeight w:val="228"/>
        </w:trPr>
        <w:tc>
          <w:tcPr>
            <w:tcW w:w="860" w:type="dxa"/>
            <w:vAlign w:val="bottom"/>
          </w:tcPr>
          <w:p>
            <w:pPr>
              <w:spacing w:after="0"/>
              <w:rPr>
                <w:sz w:val="19"/>
                <w:szCs w:val="19"/>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Bernstock</w:t>
            </w:r>
          </w:p>
        </w:tc>
      </w:tr>
      <w:tr>
        <w:trPr>
          <w:trHeight w:val="63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10(n)</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Employment Agreement and Covenant Not to Compete, effective October 1, 2004,</w:t>
            </w:r>
          </w:p>
        </w:tc>
      </w:tr>
      <w:tr>
        <w:trPr>
          <w:trHeight w:val="228"/>
        </w:trPr>
        <w:tc>
          <w:tcPr>
            <w:tcW w:w="860" w:type="dxa"/>
            <w:vAlign w:val="bottom"/>
          </w:tcPr>
          <w:p>
            <w:pPr>
              <w:spacing w:after="0"/>
              <w:rPr>
                <w:sz w:val="19"/>
                <w:szCs w:val="19"/>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between The Scotts Company and Robert F. Bernstock</w:t>
            </w:r>
          </w:p>
        </w:tc>
      </w:tr>
      <w:tr>
        <w:trPr>
          <w:trHeight w:val="42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10(o)</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First Amendment to Employment Agreement and Covenant Not to Compete,</w:t>
            </w:r>
          </w:p>
        </w:tc>
      </w:tr>
      <w:tr>
        <w:trPr>
          <w:trHeight w:val="228"/>
        </w:trPr>
        <w:tc>
          <w:tcPr>
            <w:tcW w:w="860" w:type="dxa"/>
            <w:vAlign w:val="bottom"/>
          </w:tcPr>
          <w:p>
            <w:pPr>
              <w:spacing w:after="0"/>
              <w:rPr>
                <w:sz w:val="19"/>
                <w:szCs w:val="19"/>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effective October 1, 2004, between The Scotts Company and Robert F. Bernstock</w:t>
            </w:r>
          </w:p>
        </w:tc>
      </w:tr>
      <w:tr>
        <w:trPr>
          <w:trHeight w:val="42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10(p)</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Second Amendment to Employment Agreement and Covenant Not to Compete,</w:t>
            </w:r>
          </w:p>
        </w:tc>
      </w:tr>
      <w:tr>
        <w:trPr>
          <w:trHeight w:val="228"/>
        </w:trPr>
        <w:tc>
          <w:tcPr>
            <w:tcW w:w="860" w:type="dxa"/>
            <w:vAlign w:val="bottom"/>
          </w:tcPr>
          <w:p>
            <w:pPr>
              <w:spacing w:after="0"/>
              <w:rPr>
                <w:sz w:val="19"/>
                <w:szCs w:val="19"/>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effective October 1, 2004, between The Scotts Company and Robert F. Bernstock</w:t>
            </w:r>
          </w:p>
        </w:tc>
      </w:tr>
      <w:tr>
        <w:trPr>
          <w:trHeight w:val="42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7"/>
              </w:rPr>
              <w:t>The Scotts Company 2003 Stock Option and Incentive Equity Plan Award Agreement</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for Nondirectors, effective as of October 1, 2004, between The Scotts Company and</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Robert F. Bernstock, in respect of grant of 25,000 shares of restricted stock</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10(r)</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Amendment to The Scotts Company 2003 Stock Option and Incentive Equity Plan</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Award Agreement for Nondirectors, effective as of October 1, 2004, between The</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Scotts Company and Robert F. Bernstock, in respect of June 2, 2003 award of</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freestanding stock appreciation rights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10(s)</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Amendment to The Scotts Company 2003 Stock Option and Incentive Equity Plan</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Award Agreement for Nondirectors, effective as of October 1, 2004, between The</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8"/>
              </w:rPr>
              <w:t>Scotts Company and Robert F. Bernstock, in respect of November 19, 2003 award of</w:t>
            </w:r>
          </w:p>
        </w:tc>
      </w:tr>
      <w:tr>
        <w:trPr>
          <w:trHeight w:val="216"/>
        </w:trPr>
        <w:tc>
          <w:tcPr>
            <w:tcW w:w="860" w:type="dxa"/>
            <w:vAlign w:val="bottom"/>
          </w:tcPr>
          <w:p>
            <w:pPr>
              <w:spacing w:after="0"/>
              <w:rPr>
                <w:sz w:val="18"/>
                <w:szCs w:val="18"/>
                <w:color w:val="auto"/>
              </w:rPr>
            </w:pP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freestanding stock appreciation rights</w:t>
            </w:r>
          </w:p>
        </w:tc>
      </w:tr>
      <w:tr>
        <w:trPr>
          <w:trHeight w:val="22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10(t)</w:t>
            </w:r>
          </w:p>
        </w:tc>
        <w:tc>
          <w:tcPr>
            <w:tcW w:w="64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Form of 1996 Stock Option Plan Award Agreement</w:t>
            </w:r>
          </w:p>
        </w:tc>
      </w:tr>
      <w:tr>
        <w:trPr>
          <w:trHeight w:val="542"/>
        </w:trPr>
        <w:tc>
          <w:tcPr>
            <w:tcW w:w="8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300" w:type="dxa"/>
            <w:vAlign w:val="bottom"/>
          </w:tcPr>
          <w:p>
            <w:pPr>
              <w:spacing w:after="0"/>
              <w:rPr>
                <w:sz w:val="24"/>
                <w:szCs w:val="24"/>
                <w:color w:val="auto"/>
              </w:rPr>
            </w:pPr>
          </w:p>
        </w:tc>
      </w:tr>
      <w:tr>
        <w:trPr>
          <w:trHeight w:val="316"/>
        </w:trPr>
        <w:tc>
          <w:tcPr>
            <w:tcW w:w="860" w:type="dxa"/>
            <w:vAlign w:val="bottom"/>
          </w:tcPr>
          <w:p>
            <w:pPr>
              <w:spacing w:after="0"/>
              <w:rPr>
                <w:sz w:val="24"/>
                <w:szCs w:val="24"/>
                <w:color w:val="auto"/>
              </w:rPr>
            </w:pPr>
          </w:p>
        </w:tc>
        <w:tc>
          <w:tcPr>
            <w:tcW w:w="5160" w:type="dxa"/>
            <w:vAlign w:val="bottom"/>
            <w:gridSpan w:val="2"/>
          </w:tcPr>
          <w:p>
            <w:pPr>
              <w:ind w:left="4760"/>
              <w:spacing w:after="0"/>
              <w:rPr>
                <w:sz w:val="20"/>
                <w:szCs w:val="20"/>
                <w:color w:val="auto"/>
              </w:rPr>
            </w:pPr>
            <w:r>
              <w:rPr>
                <w:rFonts w:ascii="Times New Roman" w:cs="Times New Roman" w:eastAsia="Times New Roman" w:hAnsi="Times New Roman"/>
                <w:sz w:val="18"/>
                <w:szCs w:val="18"/>
                <w:b w:val="1"/>
                <w:bCs w:val="1"/>
                <w:color w:val="auto"/>
              </w:rPr>
              <w:t>44</w:t>
            </w: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10(k)]</w:t>
      </w:r>
    </w:p>
    <w:p>
      <w:pPr>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December 28, 2002 (File No. 1-13292) [Exhibit 10(w)]</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June 28, 2003 (File No. 1-13292) [Exhibit 10(x)]</w:t>
      </w:r>
    </w:p>
    <w:p>
      <w:pPr>
        <w:spacing w:after="0" w:line="2"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6"/>
          <w:szCs w:val="16"/>
          <w:color w:val="auto"/>
        </w:rPr>
        <w:t>Incorporated herein by reference to the Registrant’s Current Report on Form 8-K dated November 19, 2004 (File No. 1-13292) [Exhibit 10.1] Incorporated herein by reference to the Registrant’s Current Report on Form 8-K dated November 19, 2004 (File No. 1-13292) [Exhibit 10.2] Incorporated herein by reference to the Registrant’s Current Report on Form 8-K dated November 19, 2004 (File No. 1-13292) [Exhibit 10.3] Incorporated herein by reference to the Registrant’s Current Report on Form 8-K dated November 19, 2004 (File No. 1-13292) [Exhibit 10.4] Incorporated herein by reference to the Registrant’s Current Report on Form 8-K dated November 19, 2004 (File No. 1-13292) [Exhibit 10.5]</w:t>
      </w:r>
    </w:p>
    <w:p>
      <w:pPr>
        <w:spacing w:after="0" w:line="386"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Current Report on Form 8-K dated November 19, 2004 (File No. 1-13292) [Exhibit 10.6]</w:t>
      </w:r>
    </w:p>
    <w:p>
      <w:pPr>
        <w:spacing w:after="0" w:line="151"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Current Report on Form 8-K dated November 19, 2004 (File No. 1-13292) [Exhibit 10.7]</w:t>
      </w:r>
    </w:p>
    <w:p>
      <w:pPr>
        <w:sectPr>
          <w:pgSz w:w="11900" w:h="16838" w:orient="portrait"/>
          <w:cols w:equalWidth="0" w:num="2">
            <w:col w:w="7320" w:space="340"/>
            <w:col w:w="3700"/>
          </w:cols>
          <w:pgMar w:left="240" w:top="1153" w:right="29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Exhibit</w:t>
            </w:r>
          </w:p>
        </w:tc>
        <w:tc>
          <w:tcPr>
            <w:tcW w:w="12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78"/>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260" w:type="dxa"/>
            <w:vAlign w:val="bottom"/>
          </w:tcPr>
          <w:p>
            <w:pPr>
              <w:spacing w:after="0"/>
              <w:rPr>
                <w:sz w:val="15"/>
                <w:szCs w:val="15"/>
                <w:color w:val="auto"/>
              </w:rPr>
            </w:pPr>
          </w:p>
        </w:tc>
        <w:tc>
          <w:tcPr>
            <w:tcW w:w="53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95"/>
        </w:trPr>
        <w:tc>
          <w:tcPr>
            <w:tcW w:w="9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r>
      <w:tr>
        <w:trPr>
          <w:trHeight w:val="30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10(u)</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Form of 2003</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and Incentive Equity Plan Award Agreement for</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00" w:type="dxa"/>
            <w:vAlign w:val="bottom"/>
          </w:tcPr>
          <w:p>
            <w:pPr>
              <w:spacing w:after="0"/>
              <w:rPr>
                <w:sz w:val="18"/>
                <w:szCs w:val="18"/>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Nondirectors</w:t>
            </w:r>
          </w:p>
        </w:tc>
        <w:tc>
          <w:tcPr>
            <w:tcW w:w="53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dated November 19,</w:t>
            </w:r>
          </w:p>
        </w:tc>
      </w:tr>
      <w:tr>
        <w:trPr>
          <w:trHeight w:val="216"/>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2004 (File No. 1-13292) [Exhibit 10.8]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10(v)</w:t>
            </w: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Form of 2003</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and Incentive Equity Plan Award Agreement for Directors</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Incorporated herein by reference to the Registrant’s</w:t>
            </w:r>
          </w:p>
        </w:tc>
      </w:tr>
      <w:tr>
        <w:trPr>
          <w:trHeight w:val="216"/>
        </w:trPr>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Report on Form 8-K dated November 19,</w:t>
            </w:r>
          </w:p>
        </w:tc>
      </w:tr>
      <w:tr>
        <w:trPr>
          <w:trHeight w:val="228"/>
        </w:trPr>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2004 (File No. 1-13292) [Exhibit 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252" w:lineRule="exact"/>
        <w:rPr>
          <w:sz w:val="20"/>
          <w:szCs w:val="20"/>
          <w:color w:val="auto"/>
        </w:rPr>
      </w:pPr>
    </w:p>
    <w:p>
      <w:pPr>
        <w:ind w:right="580" w:firstLine="324"/>
        <w:spacing w:after="0" w:line="275" w:lineRule="auto"/>
        <w:rPr>
          <w:sz w:val="20"/>
          <w:szCs w:val="20"/>
          <w:color w:val="auto"/>
        </w:rPr>
      </w:pPr>
      <w:r>
        <w:rPr>
          <w:rFonts w:ascii="Times New Roman" w:cs="Times New Roman" w:eastAsia="Times New Roman" w:hAnsi="Times New Roman"/>
          <w:sz w:val="18"/>
          <w:szCs w:val="18"/>
          <w:color w:val="auto"/>
        </w:rPr>
        <w:t>Exhibits filed with this Annual Report on Form 10-K are attached hereto or incorporated herein by reference. For a list of such exhibits, see “Index to Exhibits” beginning at page 100.</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FINANCIAL STATEMENT SCHEDULE</w:t>
      </w:r>
    </w:p>
    <w:p>
      <w:pPr>
        <w:spacing w:after="0" w:line="252"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The financial statement schedule filed with this Annual Report on Form 10-K is submitted in a separate section hereof. For a list of such financial statement schedule, see “Index to Consolidated Financial Statements and Financial Statement Schedule” on page 47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7"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right="360" w:firstLine="27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 SCOTTS COMPANY</w:t>
            </w:r>
          </w:p>
        </w:tc>
      </w:tr>
      <w:tr>
        <w:trPr>
          <w:trHeight w:val="228"/>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24, 2004</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82"/>
        </w:trPr>
        <w:tc>
          <w:tcPr>
            <w:tcW w:w="6060" w:type="dxa"/>
            <w:vAlign w:val="bottom"/>
          </w:tcPr>
          <w:p>
            <w:pPr>
              <w:spacing w:after="0"/>
              <w:rPr>
                <w:sz w:val="7"/>
                <w:szCs w:val="7"/>
                <w:color w:val="auto"/>
              </w:rPr>
            </w:pPr>
          </w:p>
        </w:tc>
        <w:tc>
          <w:tcPr>
            <w:tcW w:w="5360" w:type="dxa"/>
            <w:vAlign w:val="bottom"/>
            <w:tcBorders>
              <w:bottom w:val="single" w:sz="8" w:color="808080"/>
            </w:tcBorders>
          </w:tcPr>
          <w:p>
            <w:pPr>
              <w:spacing w:after="0"/>
              <w:rPr>
                <w:sz w:val="7"/>
                <w:szCs w:val="7"/>
                <w:color w:val="auto"/>
              </w:rPr>
            </w:pPr>
          </w:p>
        </w:tc>
      </w:tr>
      <w:tr>
        <w:trPr>
          <w:trHeight w:val="276"/>
        </w:trPr>
        <w:tc>
          <w:tcPr>
            <w:tcW w:w="60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James Hagedorn, President,</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28"/>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31"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8" w:lineRule="exact"/>
        <w:rPr>
          <w:sz w:val="20"/>
          <w:szCs w:val="20"/>
          <w:color w:val="auto"/>
        </w:rPr>
      </w:pPr>
    </w:p>
    <w:p>
      <w:pPr>
        <w:ind w:left="2320"/>
        <w:spacing w:after="0"/>
        <w:tabs>
          <w:tab w:leader="none" w:pos="7220" w:val="left"/>
          <w:tab w:leader="none" w:pos="1036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MARK R. BAKER</w:t>
            </w:r>
          </w:p>
        </w:tc>
        <w:tc>
          <w:tcPr>
            <w:tcW w:w="26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Mark R. Baker</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LYNN J. BEASLEY</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Lynn J. Beasley</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GORDON F. BRUNNER</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Gordon F. Brunner</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ARNOLD W. DONALD</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Arnold W. Donald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JOSEPH P. FLANNERY</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Joseph P. Flannery</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109"/>
        </w:trPr>
        <w:tc>
          <w:tcPr>
            <w:tcW w:w="5160" w:type="dxa"/>
            <w:vAlign w:val="bottom"/>
            <w:tcBorders>
              <w:bottom w:val="single" w:sz="8" w:color="808080"/>
            </w:tcBorders>
          </w:tcPr>
          <w:p>
            <w:pPr>
              <w:spacing w:after="0"/>
              <w:rPr>
                <w:sz w:val="9"/>
                <w:szCs w:val="9"/>
                <w:color w:val="auto"/>
              </w:rPr>
            </w:pPr>
          </w:p>
        </w:tc>
        <w:tc>
          <w:tcPr>
            <w:tcW w:w="260" w:type="dxa"/>
            <w:vAlign w:val="bottom"/>
            <w:vMerge w:val="restart"/>
          </w:tcPr>
          <w:p>
            <w:pPr>
              <w:spacing w:after="0"/>
              <w:rPr>
                <w:sz w:val="9"/>
                <w:szCs w:val="9"/>
                <w:color w:val="auto"/>
              </w:rPr>
            </w:pPr>
          </w:p>
        </w:tc>
        <w:tc>
          <w:tcPr>
            <w:tcW w:w="3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and Chairman of the Board</w:t>
            </w: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260" w:type="dxa"/>
            <w:vAlign w:val="bottom"/>
            <w:vMerge w:val="continue"/>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KATHERINE HAGEDORN LITTLEFIELD</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KAREN G. MILLS</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Karen G. Mills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L. NAGEL</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109"/>
        </w:trPr>
        <w:tc>
          <w:tcPr>
            <w:tcW w:w="5160" w:type="dxa"/>
            <w:vAlign w:val="bottom"/>
            <w:tcBorders>
              <w:bottom w:val="single" w:sz="8" w:color="808080"/>
            </w:tcBorders>
          </w:tcPr>
          <w:p>
            <w:pPr>
              <w:spacing w:after="0"/>
              <w:rPr>
                <w:sz w:val="9"/>
                <w:szCs w:val="9"/>
                <w:color w:val="auto"/>
              </w:rPr>
            </w:pPr>
          </w:p>
        </w:tc>
        <w:tc>
          <w:tcPr>
            <w:tcW w:w="260" w:type="dxa"/>
            <w:vAlign w:val="bottom"/>
            <w:vMerge w:val="restart"/>
          </w:tcPr>
          <w:p>
            <w:pPr>
              <w:spacing w:after="0"/>
              <w:rPr>
                <w:sz w:val="9"/>
                <w:szCs w:val="9"/>
                <w:color w:val="auto"/>
              </w:rPr>
            </w:pPr>
          </w:p>
        </w:tc>
        <w:tc>
          <w:tcPr>
            <w:tcW w:w="3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Officer (Principal Financial</w:t>
            </w: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Christopher L. Nagel</w:t>
            </w:r>
          </w:p>
        </w:tc>
        <w:tc>
          <w:tcPr>
            <w:tcW w:w="260" w:type="dxa"/>
            <w:vAlign w:val="bottom"/>
            <w:vMerge w:val="continue"/>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PATRICK J. NORTON</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Patrick J. Norton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STEPHANIE M. SHERN</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Stephanie M. Shern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JOHN M. SULLIVAN</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John M. Sullivan</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JOHN WALKER, PH.D.</w:t>
            </w:r>
          </w:p>
        </w:tc>
        <w:tc>
          <w:tcPr>
            <w:tcW w:w="260" w:type="dxa"/>
            <w:vAlign w:val="bottom"/>
          </w:tcPr>
          <w:p>
            <w:pPr>
              <w:spacing w:after="0"/>
              <w:rPr>
                <w:sz w:val="24"/>
                <w:szCs w:val="24"/>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November 24, 2004</w:t>
            </w: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John Walker, Ph.D.</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spacing w:after="0"/>
              <w:rPr>
                <w:sz w:val="24"/>
                <w:szCs w:val="24"/>
                <w:color w:val="auto"/>
              </w:rPr>
            </w:pPr>
          </w:p>
        </w:tc>
        <w:tc>
          <w:tcPr>
            <w:tcW w:w="8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46</w:t>
            </w:r>
          </w:p>
        </w:tc>
        <w:tc>
          <w:tcPr>
            <w:tcW w:w="2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INDEX TO CONSOLIDATED FINANCIAL STATEMENTS</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AND FINANCIAL STATEMENT SCHEDULE</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Consolidated Financial Statements of The Scotts Company and Subsidiaries:</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of Management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Consolidated Statements of Operations for the fiscal years ended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September 30, 2004, 2003 and 2002</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EEEEEE"/>
          </w:tcPr>
          <w:p>
            <w:pPr>
              <w:ind w:left="180"/>
              <w:spacing w:after="0" w:line="203"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w:t>
            </w: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September 30, 2004, 2003 and 2002</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at September 30, 2004 and 2003</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EEEEEE"/>
          </w:tcPr>
          <w:p>
            <w:pPr>
              <w:ind w:left="180"/>
              <w:spacing w:after="0" w:line="201" w:lineRule="exact"/>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and Comprehensive Income for the fiscal years ended September 30,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2004, 2003 and 2002</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Schedule Supporting the Consolidated Financial Statements:</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Report of Independent Registered Public Accounting Firm on Financial Statement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Schedule</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EEEEEE"/>
          </w:tcPr>
          <w:p>
            <w:pPr>
              <w:ind w:left="180"/>
              <w:spacing w:after="0" w:line="203" w:lineRule="exact"/>
              <w:rPr>
                <w:sz w:val="20"/>
                <w:szCs w:val="20"/>
                <w:color w:val="auto"/>
              </w:rPr>
            </w:pPr>
            <w:r>
              <w:rPr>
                <w:rFonts w:ascii="Times New Roman" w:cs="Times New Roman" w:eastAsia="Times New Roman" w:hAnsi="Times New Roman"/>
                <w:sz w:val="18"/>
                <w:szCs w:val="18"/>
                <w:color w:val="auto"/>
              </w:rPr>
              <w:t>Valuation and Qualifying Accounts for the fiscal years ended September 30,</w:t>
            </w: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2004, 2003 and 2002</w:t>
            </w:r>
          </w:p>
        </w:tc>
        <w:tc>
          <w:tcPr>
            <w:tcW w:w="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Schedules other than those listed above are omitted since they are not required or are not applicable, or the required information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MANAGEMENT</w:t>
      </w:r>
    </w:p>
    <w:p>
      <w:pPr>
        <w:spacing w:after="0" w:line="250"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Management of The Scotts Company is responsible for the preparation, integrity and objectivity of the financial information presented in this Annual Report on Form 10-K. The accompanying financial statements have been prepared in conformity with accounting principles generally accepted in the United States of America appropriate in the circumstances and, accordingly, include some amounts that are based on management’s best judgments and estimates.</w:t>
      </w:r>
    </w:p>
    <w:p>
      <w:pPr>
        <w:spacing w:after="0" w:line="21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elements of these control systems.</w:t>
      </w:r>
    </w:p>
    <w:p>
      <w:pPr>
        <w:spacing w:after="0" w:line="2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have been audited by PricewaterhouseCoopers LLP, recommended by the Audit Committee and approved by the Board of Directors. The independent registered public accounting firm conducts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 in the United States of America.</w:t>
      </w:r>
    </w:p>
    <w:p>
      <w:pPr>
        <w:spacing w:after="0" w:line="21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through its Audit Committee consisting solely of non-management directors, meets periodically with management, internal audit personnel and the independent auditors to discuss internal accounting controls and auditing and financial reporting matters. The Audit Committee reviews with the independent registered public accounting firm the scope and results of the audit effort. Both internal audit personnel and the independent registered public accounting firm have access to the Audit Committee with or without the presence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49" w:name="page50"/>
    <w:bookmarkEnd w:id="49"/>
    <w:p>
      <w:pPr>
        <w:ind w:left="20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Company:</w:t>
      </w:r>
    </w:p>
    <w:p>
      <w:pPr>
        <w:spacing w:after="0" w:line="25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our opinion, the consolidated balance sheets and the related consolidated statements of operations, shareholders’ equity and comprehensive income and cash flows present fairly, in all material respects, the financial position of The Scotts Company at September 30, 2004 and September 30, 2003, and the results of its operations and its cash flows for each of the three years in the period ended September 30, 2004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2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6 to the financial statements, effective October 1, 2001, the Company adopted Statement of Financial Accounting Standards No. 142, “Goodwill and Other Intangible Assets”. Also, as discussed in Note 1 to the financial statements, effective October 1, 2002, the Company adopted the prospective method of recognizing the fair value of stock-based compensation in accordance with Statement of Financial Accounting Standards No. 123, “Accounting for Stock-Based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83820</wp:posOffset>
            </wp:positionV>
            <wp:extent cx="386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0" w:name="page51"/>
    <w:bookmarkEnd w:id="50"/>
    <w:p>
      <w:pPr>
        <w:jc w:val="center"/>
        <w:ind w:right="-1139"/>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2004, 2003 and 2002</w:t>
      </w:r>
    </w:p>
    <w:p>
      <w:pPr>
        <w:spacing w:after="0" w:line="9"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2,037.9</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1,887.7</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1,723.7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1,267.6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1,189.7</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commission earned from marketing agreement</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marketing fee</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Contribution expenses under marketing agreement</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commission earned from marketing agreement</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 lawn service business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Costs related to refinancings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EEEEEE"/>
          </w:tcPr>
          <w:p>
            <w:pPr>
              <w:ind w:left="44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 intangible assets,</w:t>
            </w:r>
          </w:p>
        </w:tc>
        <w:tc>
          <w:tcPr>
            <w:tcW w:w="4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net of tax</w:t>
            </w:r>
          </w:p>
        </w:tc>
        <w:tc>
          <w:tcPr>
            <w:tcW w:w="4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4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 intangible assets,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of tax</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Weighted-average common shares outstanding during the period and</w:t>
            </w:r>
          </w:p>
        </w:tc>
        <w:tc>
          <w:tcPr>
            <w:tcW w:w="4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400" w:type="dxa"/>
            <w:vAlign w:val="bottom"/>
            <w:shd w:val="clear" w:color="auto" w:fill="EEEEEE"/>
          </w:tcPr>
          <w:p>
            <w:pPr>
              <w:spacing w:after="0"/>
              <w:rPr>
                <w:sz w:val="20"/>
                <w:szCs w:val="20"/>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8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shd w:val="clear" w:color="auto" w:fill="EEEEEE"/>
          </w:tcPr>
          <w:p>
            <w:pPr>
              <w:ind w:left="44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 intangible assets,</w:t>
            </w:r>
          </w:p>
        </w:tc>
        <w:tc>
          <w:tcPr>
            <w:tcW w:w="4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net of tax</w:t>
            </w:r>
          </w:p>
        </w:tc>
        <w:tc>
          <w:tcPr>
            <w:tcW w:w="4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50</w:t>
      </w:r>
    </w:p>
    <w:p>
      <w:pPr>
        <w:sectPr>
          <w:pgSz w:w="11900" w:h="16838" w:orient="portrait"/>
          <w:cols w:equalWidth="0" w:num="1">
            <w:col w:w="10280"/>
          </w:cols>
          <w:pgMar w:left="240" w:top="918" w:right="1379" w:bottom="0"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September 30, 2004, 2003 and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$ 100.9</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$ 103.8</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 pre-tax</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Costs related to refinancings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Deferred taxes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Changes in assets and liabilities, net of acquired businesses: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(27.3)</w:t>
            </w: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(14.0)</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Accrued taxes and liabilities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Restructuring reserves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tcPr>
          <w:p>
            <w:pPr>
              <w:spacing w:after="0"/>
              <w:rPr>
                <w:sz w:val="18"/>
                <w:szCs w:val="18"/>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(7.1)</w:t>
            </w: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(6.3)</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6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available for sale securities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(121.4)</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Redemption of available for sale securities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property, plant and equipment</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(35.1)</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(51.8)</w:t>
            </w: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Investments in acquired businesses, net of cash acquired</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(20.4)</w:t>
            </w: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on sellers notes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(12.3)</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(36.7)</w:t>
            </w: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(112.8)</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(108.9)</w:t>
            </w:r>
          </w:p>
        </w:tc>
        <w:tc>
          <w:tcPr>
            <w:tcW w:w="6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(113.0)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Net borrowings (repayments) under revolving and</w:t>
            </w: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lines of 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(17.6)</w:t>
            </w:r>
          </w:p>
        </w:tc>
        <w:tc>
          <w:tcPr>
            <w:tcW w:w="6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Repayment of term loans</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(827.5)</w:t>
            </w:r>
          </w:p>
        </w:tc>
        <w:tc>
          <w:tcPr>
            <w:tcW w:w="170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(62.4)</w:t>
            </w: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Redemption of 8 5/8% Senior Subordinated Notes</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(418.0)</w:t>
            </w: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6 5/8% Senior Subordinated Notes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Issuance of 8 5/8% senior subordinated notes, net of issuance fees</w:t>
            </w: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(13.0)</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(133.0)</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(59.0)</w:t>
            </w:r>
          </w:p>
        </w:tc>
        <w:tc>
          <w:tcPr>
            <w:tcW w:w="6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84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08"/>
        </w:trPr>
        <w:tc>
          <w:tcPr>
            <w:tcW w:w="66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8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$ 115.6</w:t>
            </w:r>
          </w:p>
        </w:tc>
        <w:tc>
          <w:tcPr>
            <w:tcW w:w="6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$ 155.9</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2004 and 2003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r>
      <w:tr>
        <w:trPr>
          <w:trHeight w:val="95"/>
        </w:trPr>
        <w:tc>
          <w:tcPr>
            <w:tcW w:w="80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8000" w:type="dxa"/>
            <w:vAlign w:val="bottom"/>
            <w:shd w:val="clear" w:color="auto" w:fill="EEEEEE"/>
          </w:tcPr>
          <w:p>
            <w:pPr>
              <w:ind w:left="540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Accounts receivable, less allowance for uncollectible accounts of $29.0 in 2004 and $29.0 in 2003</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 net</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20" w:type="dxa"/>
            <w:vAlign w:val="bottom"/>
            <w:shd w:val="clear" w:color="auto" w:fill="EEEEEE"/>
          </w:tcPr>
          <w:p>
            <w:pPr>
              <w:spacing w:after="0"/>
              <w:rPr>
                <w:sz w:val="18"/>
                <w:szCs w:val="18"/>
                <w:color w:val="auto"/>
              </w:rPr>
            </w:pPr>
          </w:p>
        </w:tc>
      </w:tr>
      <w:tr>
        <w:trPr>
          <w:trHeight w:val="228"/>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spacing w:after="0"/>
              <w:rPr>
                <w:sz w:val="19"/>
                <w:szCs w:val="19"/>
                <w:color w:val="auto"/>
              </w:rPr>
            </w:pPr>
          </w:p>
        </w:tc>
      </w:tr>
      <w:tr>
        <w:trPr>
          <w:trHeight w:val="96"/>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800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shd w:val="clear" w:color="auto" w:fill="EEEEEE"/>
          </w:tcPr>
          <w:p>
            <w:pPr>
              <w:spacing w:after="0"/>
              <w:rPr>
                <w:sz w:val="18"/>
                <w:szCs w:val="18"/>
                <w:color w:val="auto"/>
              </w:rPr>
            </w:pPr>
          </w:p>
        </w:tc>
      </w:tr>
      <w:tr>
        <w:trPr>
          <w:trHeight w:val="108"/>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2,047.8</w:t>
            </w:r>
          </w:p>
        </w:tc>
        <w:tc>
          <w:tcPr>
            <w:tcW w:w="7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2,030.3</w:t>
            </w:r>
          </w:p>
        </w:tc>
        <w:tc>
          <w:tcPr>
            <w:tcW w:w="320" w:type="dxa"/>
            <w:vAlign w:val="bottom"/>
          </w:tcPr>
          <w:p>
            <w:pPr>
              <w:spacing w:after="0"/>
              <w:rPr>
                <w:sz w:val="24"/>
                <w:szCs w:val="24"/>
                <w:color w:val="auto"/>
              </w:rPr>
            </w:pPr>
          </w:p>
        </w:tc>
      </w:tr>
      <w:tr>
        <w:trPr>
          <w:trHeight w:val="107"/>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8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r>
        <w:trPr>
          <w:trHeight w:val="105"/>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216"/>
        </w:trPr>
        <w:tc>
          <w:tcPr>
            <w:tcW w:w="8000" w:type="dxa"/>
            <w:vAlign w:val="bottom"/>
            <w:shd w:val="clear" w:color="auto" w:fill="EEEEEE"/>
          </w:tcPr>
          <w:p>
            <w:pPr>
              <w:ind w:left="390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Current portion of debt</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20" w:type="dxa"/>
            <w:vAlign w:val="bottom"/>
            <w:shd w:val="clear" w:color="auto" w:fill="EEEEEE"/>
          </w:tcPr>
          <w:p>
            <w:pPr>
              <w:spacing w:after="0"/>
              <w:rPr>
                <w:sz w:val="18"/>
                <w:szCs w:val="18"/>
                <w:color w:val="auto"/>
              </w:rPr>
            </w:pPr>
          </w:p>
        </w:tc>
      </w:tr>
      <w:tr>
        <w:trPr>
          <w:trHeight w:val="228"/>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taxes</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9"/>
                <w:szCs w:val="19"/>
                <w:color w:val="auto"/>
              </w:rPr>
            </w:pPr>
          </w:p>
        </w:tc>
      </w:tr>
      <w:tr>
        <w:trPr>
          <w:trHeight w:val="96"/>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800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20" w:type="dxa"/>
            <w:vAlign w:val="bottom"/>
            <w:shd w:val="clear" w:color="auto" w:fill="EEEEEE"/>
          </w:tcPr>
          <w:p>
            <w:pPr>
              <w:spacing w:after="0"/>
              <w:rPr>
                <w:sz w:val="18"/>
                <w:szCs w:val="18"/>
                <w:color w:val="auto"/>
              </w:rPr>
            </w:pPr>
          </w:p>
        </w:tc>
      </w:tr>
      <w:tr>
        <w:trPr>
          <w:trHeight w:val="108"/>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1,173.2</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1,302.1</w:t>
            </w:r>
          </w:p>
        </w:tc>
        <w:tc>
          <w:tcPr>
            <w:tcW w:w="320" w:type="dxa"/>
            <w:vAlign w:val="bottom"/>
          </w:tcPr>
          <w:p>
            <w:pPr>
              <w:spacing w:after="0"/>
              <w:rPr>
                <w:sz w:val="24"/>
                <w:szCs w:val="24"/>
                <w:color w:val="auto"/>
              </w:rPr>
            </w:pPr>
          </w:p>
        </w:tc>
      </w:tr>
      <w:tr>
        <w:trPr>
          <w:trHeight w:val="218"/>
        </w:trPr>
        <w:tc>
          <w:tcPr>
            <w:tcW w:w="8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and contingencies (Notes 15 and 16)</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2"/>
        </w:trPr>
        <w:tc>
          <w:tcPr>
            <w:tcW w:w="8000" w:type="dxa"/>
            <w:vAlign w:val="bottom"/>
            <w:shd w:val="clear" w:color="auto" w:fill="EEEEEE"/>
          </w:tcPr>
          <w:p>
            <w:pPr>
              <w:ind w:left="320"/>
              <w:spacing w:after="0" w:line="201" w:lineRule="exact"/>
              <w:rPr>
                <w:sz w:val="20"/>
                <w:szCs w:val="20"/>
                <w:color w:val="auto"/>
              </w:rPr>
            </w:pPr>
            <w:r>
              <w:rPr>
                <w:rFonts w:ascii="Times New Roman" w:cs="Times New Roman" w:eastAsia="Times New Roman" w:hAnsi="Times New Roman"/>
                <w:sz w:val="18"/>
                <w:szCs w:val="18"/>
                <w:color w:val="auto"/>
              </w:rPr>
              <w:t>Common shares, no par value per share, $.01 stated value per share, shares issued and outstanding</w:t>
            </w:r>
          </w:p>
        </w:tc>
        <w:tc>
          <w:tcPr>
            <w:tcW w:w="5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230"/>
        </w:trPr>
        <w:tc>
          <w:tcPr>
            <w:tcW w:w="8000" w:type="dxa"/>
            <w:vAlign w:val="bottom"/>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of 32.8 in 2004 and 32.0 in 2003</w:t>
            </w:r>
          </w:p>
        </w:tc>
        <w:tc>
          <w:tcPr>
            <w:tcW w:w="560" w:type="dxa"/>
            <w:vAlign w:val="bottom"/>
            <w:shd w:val="clear" w:color="auto" w:fill="EEEEEE"/>
          </w:tcPr>
          <w:p>
            <w:pPr>
              <w:spacing w:after="0"/>
              <w:rPr>
                <w:sz w:val="20"/>
                <w:szCs w:val="20"/>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4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EEEEEE"/>
          </w:tcPr>
          <w:p>
            <w:pPr>
              <w:spacing w:after="0"/>
              <w:rPr>
                <w:sz w:val="20"/>
                <w:szCs w:val="20"/>
                <w:color w:val="auto"/>
              </w:rPr>
            </w:pPr>
          </w:p>
        </w:tc>
      </w:tr>
      <w:tr>
        <w:trPr>
          <w:trHeight w:val="216"/>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compensation — stock awards</w:t>
            </w:r>
          </w:p>
        </w:tc>
        <w:tc>
          <w:tcPr>
            <w:tcW w:w="5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Capital in excess of stated value</w:t>
            </w:r>
          </w:p>
        </w:tc>
        <w:tc>
          <w:tcPr>
            <w:tcW w:w="5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320" w:type="dxa"/>
            <w:vAlign w:val="bottom"/>
            <w:shd w:val="clear" w:color="auto" w:fill="EEEEEE"/>
          </w:tcPr>
          <w:p>
            <w:pPr>
              <w:spacing w:after="0"/>
              <w:rPr>
                <w:sz w:val="18"/>
                <w:szCs w:val="18"/>
                <w:color w:val="auto"/>
              </w:rPr>
            </w:pPr>
          </w:p>
        </w:tc>
      </w:tr>
      <w:tr>
        <w:trPr>
          <w:trHeight w:val="216"/>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320" w:type="dxa"/>
            <w:vAlign w:val="bottom"/>
          </w:tcPr>
          <w:p>
            <w:pPr>
              <w:spacing w:after="0"/>
              <w:rPr>
                <w:sz w:val="18"/>
                <w:szCs w:val="18"/>
                <w:color w:val="auto"/>
              </w:rPr>
            </w:pPr>
          </w:p>
        </w:tc>
      </w:tr>
      <w:tr>
        <w:trPr>
          <w:trHeight w:val="216"/>
        </w:trPr>
        <w:tc>
          <w:tcPr>
            <w:tcW w:w="8000" w:type="dxa"/>
            <w:vAlign w:val="bottom"/>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80"/>
              <w:spacing w:after="0"/>
              <w:rPr>
                <w:sz w:val="20"/>
                <w:szCs w:val="20"/>
                <w:color w:val="auto"/>
              </w:rPr>
            </w:pPr>
            <w:r>
              <w:rPr>
                <w:rFonts w:ascii="Times New Roman" w:cs="Times New Roman" w:eastAsia="Times New Roman" w:hAnsi="Times New Roman"/>
                <w:sz w:val="18"/>
                <w:szCs w:val="18"/>
                <w:color w:val="auto"/>
              </w:rPr>
              <w:t>(57.8)</w:t>
            </w:r>
          </w:p>
        </w:tc>
        <w:tc>
          <w:tcPr>
            <w:tcW w:w="7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r>
      <w:tr>
        <w:trPr>
          <w:trHeight w:val="108"/>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80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320" w:type="dxa"/>
            <w:vAlign w:val="bottom"/>
          </w:tcPr>
          <w:p>
            <w:pPr>
              <w:spacing w:after="0"/>
              <w:rPr>
                <w:sz w:val="24"/>
                <w:szCs w:val="24"/>
                <w:color w:val="auto"/>
              </w:rPr>
            </w:pPr>
          </w:p>
        </w:tc>
      </w:tr>
      <w:tr>
        <w:trPr>
          <w:trHeight w:val="110"/>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8000" w:type="dxa"/>
            <w:vAlign w:val="bottom"/>
            <w:shd w:val="clear" w:color="auto" w:fill="EEEEEE"/>
          </w:tcPr>
          <w:p>
            <w:pPr>
              <w:ind w:left="6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2,047.8</w:t>
            </w:r>
          </w:p>
        </w:tc>
        <w:tc>
          <w:tcPr>
            <w:tcW w:w="74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2,030.3</w:t>
            </w:r>
          </w:p>
        </w:tc>
        <w:tc>
          <w:tcPr>
            <w:tcW w:w="320" w:type="dxa"/>
            <w:vAlign w:val="bottom"/>
            <w:shd w:val="clear" w:color="auto" w:fill="EEEEEE"/>
          </w:tcPr>
          <w:p>
            <w:pPr>
              <w:spacing w:after="0"/>
              <w:rPr>
                <w:sz w:val="18"/>
                <w:szCs w:val="18"/>
                <w:color w:val="auto"/>
              </w:rPr>
            </w:pPr>
          </w:p>
        </w:tc>
      </w:tr>
      <w:tr>
        <w:trPr>
          <w:trHeight w:val="105"/>
        </w:trPr>
        <w:tc>
          <w:tcPr>
            <w:tcW w:w="8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8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152400</wp:posOffset>
            </wp:positionV>
            <wp:extent cx="3860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and Comprehensive Income for the fiscal years ended September 30, 2004, 2003 and 2002 (in millions)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Capital in</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Excess of</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6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Stated Value</w:t>
            </w: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September 30, 2001</w:t>
            </w:r>
          </w:p>
        </w:tc>
        <w:tc>
          <w:tcPr>
            <w:tcW w:w="5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loss on derivatives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shares held in treasury</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2002</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5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awarded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gain on derivatives</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(13.3)</w:t>
            </w: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shares held in treasury</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2003</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4"/>
                <w:szCs w:val="24"/>
                <w:color w:val="auto"/>
              </w:rPr>
            </w:pP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5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awarded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gain on derivatives</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September 30, 2004</w:t>
            </w:r>
          </w:p>
        </w:tc>
        <w:tc>
          <w:tcPr>
            <w:tcW w:w="5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EEEEEE"/>
          </w:tcPr>
          <w:p>
            <w:pPr>
              <w:spacing w:after="0"/>
              <w:rPr>
                <w:sz w:val="18"/>
                <w:szCs w:val="18"/>
                <w:color w:val="auto"/>
              </w:rPr>
            </w:pPr>
          </w:p>
        </w:tc>
        <w:tc>
          <w:tcPr>
            <w:tcW w:w="1840" w:type="dxa"/>
            <w:vAlign w:val="bottom"/>
            <w:gridSpan w:val="3"/>
            <w:shd w:val="clear" w:color="auto" w:fill="EEEEEE"/>
          </w:tcPr>
          <w:p>
            <w:pPr>
              <w:jc w:val="right"/>
              <w:ind w:right="56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5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color w:val="auto"/>
        </w:rPr>
        <w:t>The Scotts Company</w:t>
      </w:r>
    </w:p>
    <w:p>
      <w:pPr>
        <w:spacing w:after="0" w:line="23" w:lineRule="exact"/>
        <w:rPr>
          <w:sz w:val="20"/>
          <w:szCs w:val="20"/>
          <w:color w:val="auto"/>
        </w:rPr>
      </w:pPr>
    </w:p>
    <w:p>
      <w:pPr>
        <w:jc w:val="center"/>
        <w:ind w:left="260" w:right="2120"/>
        <w:spacing w:after="0" w:line="255" w:lineRule="auto"/>
        <w:rPr>
          <w:sz w:val="20"/>
          <w:szCs w:val="20"/>
          <w:color w:val="auto"/>
        </w:rPr>
      </w:pPr>
      <w:r>
        <w:rPr>
          <w:rFonts w:ascii="Times New Roman" w:cs="Times New Roman" w:eastAsia="Times New Roman" w:hAnsi="Times New Roman"/>
          <w:sz w:val="18"/>
          <w:szCs w:val="18"/>
          <w:color w:val="auto"/>
        </w:rPr>
        <w:t>Consolidated Statements of Changes in Shareholders’ Equity and Comprehensive Income (continued) for the fiscal years ended September 30, 2004, 2003 and 2002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Accumulated Other Comprehensive Income</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Minimum Pension</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Liability</w:t>
            </w: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2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Translation</w:t>
            </w:r>
          </w:p>
        </w:tc>
        <w:tc>
          <w:tcPr>
            <w:tcW w:w="480" w:type="dxa"/>
            <w:vAlign w:val="bottom"/>
          </w:tcPr>
          <w:p>
            <w:pPr>
              <w:spacing w:after="0"/>
              <w:rPr>
                <w:sz w:val="16"/>
                <w:szCs w:val="16"/>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September 30, 2001</w:t>
            </w:r>
          </w:p>
        </w:tc>
        <w:tc>
          <w:tcPr>
            <w:tcW w:w="80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w w:val="96"/>
              </w:rPr>
              <w:t>(70.0)</w:t>
            </w: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620" w:type="dxa"/>
            <w:vAlign w:val="bottom"/>
            <w:gridSpan w:val="3"/>
            <w:shd w:val="clear" w:color="auto" w:fill="EEEEEE"/>
          </w:tcPr>
          <w:p>
            <w:pPr>
              <w:jc w:val="right"/>
              <w:ind w:right="1080"/>
              <w:spacing w:after="0"/>
              <w:rPr>
                <w:sz w:val="20"/>
                <w:szCs w:val="20"/>
                <w:color w:val="auto"/>
              </w:rPr>
            </w:pPr>
            <w:r>
              <w:rPr>
                <w:rFonts w:ascii="Times New Roman" w:cs="Times New Roman" w:eastAsia="Times New Roman" w:hAnsi="Times New Roman"/>
                <w:sz w:val="18"/>
                <w:szCs w:val="18"/>
                <w:color w:val="auto"/>
              </w:rPr>
              <w:t>$(13.3)</w:t>
            </w:r>
          </w:p>
        </w:tc>
        <w:tc>
          <w:tcPr>
            <w:tcW w:w="1000" w:type="dxa"/>
            <w:vAlign w:val="bottom"/>
            <w:gridSpan w:val="3"/>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loss on derivatives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(0.6)(b)</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900"/>
              <w:spacing w:after="0"/>
              <w:rPr>
                <w:sz w:val="20"/>
                <w:szCs w:val="20"/>
                <w:color w:val="auto"/>
              </w:rPr>
            </w:pPr>
            <w:r>
              <w:rPr>
                <w:rFonts w:ascii="Times New Roman" w:cs="Times New Roman" w:eastAsia="Times New Roman" w:hAnsi="Times New Roman"/>
                <w:sz w:val="18"/>
                <w:szCs w:val="18"/>
                <w:color w:val="auto"/>
                <w:w w:val="94"/>
              </w:rPr>
              <w:t>(24.4)(a)</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shares held in treasury</w:t>
            </w: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September 30, 2002</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(41.8)</w:t>
            </w:r>
          </w:p>
        </w:tc>
        <w:tc>
          <w:tcPr>
            <w:tcW w:w="3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6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awarded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gain on derivatives</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0.8(b)</w:t>
            </w: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(0.8)(a)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common shares held in treasury</w:t>
            </w: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September 30, 2003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6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(38.5)</w:t>
            </w: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awarded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gain on derivatives</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1.0(b)</w:t>
            </w: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2.9(a)</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September 30, 2004</w:t>
            </w: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2620" w:type="dxa"/>
            <w:vAlign w:val="bottom"/>
            <w:gridSpan w:val="3"/>
            <w:shd w:val="clear" w:color="auto" w:fill="EEEEEE"/>
          </w:tcPr>
          <w:p>
            <w:pPr>
              <w:jc w:val="right"/>
              <w:ind w:right="1080"/>
              <w:spacing w:after="0"/>
              <w:rPr>
                <w:sz w:val="20"/>
                <w:szCs w:val="20"/>
                <w:color w:val="auto"/>
              </w:rPr>
            </w:pPr>
            <w:r>
              <w:rPr>
                <w:rFonts w:ascii="Times New Roman" w:cs="Times New Roman" w:eastAsia="Times New Roman" w:hAnsi="Times New Roman"/>
                <w:sz w:val="18"/>
                <w:szCs w:val="18"/>
                <w:color w:val="auto"/>
              </w:rPr>
              <w:t>$(35.6)</w:t>
            </w:r>
          </w:p>
        </w:tc>
        <w:tc>
          <w:tcPr>
            <w:tcW w:w="1000" w:type="dxa"/>
            <w:vAlign w:val="bottom"/>
            <w:gridSpan w:val="3"/>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$(21.9)</w:t>
            </w: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benefits of $(2.0), $1.3, and $14.8 for fiscal 2004, 2003 and 2002, respectively.</w:t>
      </w:r>
    </w:p>
    <w:p>
      <w:pPr>
        <w:spacing w:after="0" w:line="225" w:lineRule="exact"/>
        <w:rPr>
          <w:rFonts w:ascii="Times New Roman" w:cs="Times New Roman" w:eastAsia="Times New Roman" w:hAnsi="Times New Roman"/>
          <w:sz w:val="18"/>
          <w:szCs w:val="18"/>
          <w:color w:val="auto"/>
        </w:rPr>
      </w:pPr>
    </w:p>
    <w:p>
      <w:pPr>
        <w:ind w:right="4040" w:firstLine="8"/>
        <w:spacing w:after="0" w:line="525" w:lineRule="auto"/>
        <w:tabs>
          <w:tab w:leader="none" w:pos="3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benefits of $(0.3), $(0.6) and $0.3 for fiscal 2004, 2003 and 2002, respectively. 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-16510</wp:posOffset>
            </wp:positionV>
            <wp:extent cx="386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54" w:lineRule="exact"/>
        <w:rPr>
          <w:sz w:val="20"/>
          <w:szCs w:val="20"/>
          <w:color w:val="auto"/>
        </w:rPr>
      </w:pPr>
    </w:p>
    <w:p>
      <w:pPr>
        <w:ind w:right="80" w:firstLine="270"/>
        <w:spacing w:after="0" w:line="254" w:lineRule="auto"/>
        <w:rPr>
          <w:sz w:val="20"/>
          <w:szCs w:val="20"/>
          <w:color w:val="auto"/>
        </w:rPr>
      </w:pPr>
      <w:r>
        <w:rPr>
          <w:rFonts w:ascii="Times New Roman" w:cs="Times New Roman" w:eastAsia="Times New Roman" w:hAnsi="Times New Roman"/>
          <w:sz w:val="18"/>
          <w:szCs w:val="18"/>
          <w:color w:val="auto"/>
        </w:rPr>
        <w:t>The Scotts Company and its subsidiaries (collectively “Scotts” or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and distributors who serve commercial nurseries and greenhouses, specialty crop growers, and small retail accounts. The Company’s products are sold primarily in North America and the European Union. We also operate the Scotts LawnService® business which provides lawn and tree and shrub fertilization, insect control and other related services in the United States. Effective October 2, 2004, Scotts acquired Smith &amp; Hawken®, a leading brand in the outdoor living and gardening lifestyle category. Smith &amp; Hawken® products are sold in the United States through its 58 retail stores as well as through catalog and internet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and Basis of Presentation</w:t>
      </w:r>
    </w:p>
    <w:p>
      <w:pPr>
        <w:spacing w:after="0" w:line="254" w:lineRule="exact"/>
        <w:rPr>
          <w:sz w:val="20"/>
          <w:szCs w:val="20"/>
          <w:color w:val="auto"/>
        </w:rPr>
      </w:pPr>
    </w:p>
    <w:p>
      <w:pPr>
        <w:ind w:right="80" w:firstLine="270"/>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of America. The consolidated financial statements include the accounts of The Scotts Company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54" w:lineRule="exact"/>
        <w:rPr>
          <w:sz w:val="20"/>
          <w:szCs w:val="20"/>
          <w:color w:val="auto"/>
        </w:rPr>
      </w:pPr>
    </w:p>
    <w:p>
      <w:pPr>
        <w:ind w:right="60" w:firstLine="270"/>
        <w:spacing w:after="0" w:line="262" w:lineRule="auto"/>
        <w:rPr>
          <w:sz w:val="20"/>
          <w:szCs w:val="20"/>
          <w:color w:val="auto"/>
        </w:rPr>
      </w:pPr>
      <w:r>
        <w:rPr>
          <w:rFonts w:ascii="Times New Roman" w:cs="Times New Roman" w:eastAsia="Times New Roman" w:hAnsi="Times New Roman"/>
          <w:sz w:val="18"/>
          <w:szCs w:val="18"/>
          <w:color w:val="auto"/>
        </w:rPr>
        <w:t>Revenue is recognized when products are shipped and when title and risk of loss transfer to the customer. Provisions for estimated returns and allowances are recorded at the time of shipment based on historical rates of returns as a percentage of sales and are periodically adjusted for known changes in return levels. Scotts LawnService® revenues are recognized at the time service is provided to the customer.</w:t>
      </w:r>
    </w:p>
    <w:p>
      <w:pPr>
        <w:spacing w:after="0" w:line="21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Marketing Agreement between The Scotts Company and Monsanto, the Company in its role as exclusive agent performs certain functions, such as sales support, merchandising, distribution and logistics on behalf of Monsanto, and incurs certain costs in support of the consumer Roundup® business. The actual costs incurred by Scotts on behalf of Roundup® are recovered from Monsanto through the terms of the Agency Agreement and are treated solely as a recovery of incurred costs. Revenue is not recognized in the Company’s consolidated financial statements for the recovery of these costs since the services rendered are solely in support of the agency arrangement and not a part of any principal line of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Promotional Allowances</w:t>
      </w:r>
    </w:p>
    <w:p>
      <w:pPr>
        <w:spacing w:after="0" w:line="254" w:lineRule="exact"/>
        <w:rPr>
          <w:sz w:val="20"/>
          <w:szCs w:val="20"/>
          <w:color w:val="auto"/>
        </w:rPr>
      </w:pPr>
    </w:p>
    <w:p>
      <w:pPr>
        <w:jc w:val="both"/>
        <w:ind w:right="660" w:firstLine="270"/>
        <w:spacing w:after="0" w:line="258" w:lineRule="auto"/>
        <w:rPr>
          <w:sz w:val="20"/>
          <w:szCs w:val="20"/>
          <w:color w:val="auto"/>
        </w:rPr>
      </w:pPr>
      <w:r>
        <w:rPr>
          <w:rFonts w:ascii="Times New Roman" w:cs="Times New Roman" w:eastAsia="Times New Roman" w:hAnsi="Times New Roman"/>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Advertising</w:t>
      </w:r>
    </w:p>
    <w:p>
      <w:pPr>
        <w:spacing w:after="0" w:line="254" w:lineRule="exact"/>
        <w:rPr>
          <w:sz w:val="20"/>
          <w:szCs w:val="20"/>
          <w:color w:val="auto"/>
        </w:rPr>
      </w:pPr>
    </w:p>
    <w:p>
      <w:pPr>
        <w:ind w:right="60" w:firstLine="270"/>
        <w:spacing w:after="0" w:line="262" w:lineRule="auto"/>
        <w:rPr>
          <w:sz w:val="20"/>
          <w:szCs w:val="20"/>
          <w:color w:val="auto"/>
        </w:rPr>
      </w:pPr>
      <w:r>
        <w:rPr>
          <w:rFonts w:ascii="Times New Roman" w:cs="Times New Roman" w:eastAsia="Times New Roman" w:hAnsi="Times New Roman"/>
          <w:sz w:val="18"/>
          <w:szCs w:val="18"/>
          <w:color w:val="auto"/>
        </w:rPr>
        <w:t>The Company advertises its branded products through national and regional media.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213"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Scotts LawnService® promotes its service offerings through direct response mail campaigns. The external costs associated with these campaigns are deferred and recognized ratably as 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proportion to revenues as advertising costs over a period not in excess of one year. The costs deferred at September 30, 2004 and 2003 were $1.6 million and $1.0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Franchise Operations</w:t>
      </w:r>
    </w:p>
    <w:p>
      <w:pPr>
        <w:spacing w:after="0" w:line="254" w:lineRule="exact"/>
        <w:rPr>
          <w:sz w:val="20"/>
          <w:szCs w:val="20"/>
          <w:color w:val="auto"/>
        </w:rPr>
      </w:pPr>
    </w:p>
    <w:p>
      <w:pPr>
        <w:ind w:right="660" w:firstLine="270"/>
        <w:spacing w:after="0" w:line="262" w:lineRule="auto"/>
        <w:rPr>
          <w:sz w:val="20"/>
          <w:szCs w:val="20"/>
          <w:color w:val="auto"/>
        </w:rPr>
      </w:pPr>
      <w:r>
        <w:rPr>
          <w:rFonts w:ascii="Times New Roman" w:cs="Times New Roman" w:eastAsia="Times New Roman" w:hAnsi="Times New Roman"/>
          <w:sz w:val="18"/>
          <w:szCs w:val="18"/>
          <w:color w:val="auto"/>
        </w:rPr>
        <w:t>The Company’s Scotts LawnService® segment consists of 68 company-operated locations serving 49 metropolitan markets, with an additional 74 independent franchise locations operating primarily in secondary markets at September 30, 2004. In fiscal 2003, there were 68 company-operated and 70 franchised locations. Franchise fee income and royalties are not material to total income from continuing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54" w:lineRule="exact"/>
        <w:rPr>
          <w:sz w:val="20"/>
          <w:szCs w:val="20"/>
          <w:color w:val="auto"/>
        </w:rPr>
      </w:pPr>
    </w:p>
    <w:p>
      <w:pPr>
        <w:ind w:right="820" w:firstLine="270"/>
        <w:spacing w:after="0" w:line="275" w:lineRule="auto"/>
        <w:rPr>
          <w:sz w:val="20"/>
          <w:szCs w:val="20"/>
          <w:color w:val="auto"/>
        </w:rPr>
      </w:pPr>
      <w:r>
        <w:rPr>
          <w:rFonts w:ascii="Times New Roman" w:cs="Times New Roman" w:eastAsia="Times New Roman" w:hAnsi="Times New Roman"/>
          <w:sz w:val="18"/>
          <w:szCs w:val="18"/>
          <w:color w:val="auto"/>
        </w:rPr>
        <w:t>All costs associated with research and development are charged to expense as incurred. Expense for fiscal 2004, 2003 and 2002 was $34.4 million, $30.4 million and $26.2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Costs</w:t>
      </w:r>
    </w:p>
    <w:p>
      <w:pPr>
        <w:spacing w:after="0" w:line="254" w:lineRule="exact"/>
        <w:rPr>
          <w:sz w:val="20"/>
          <w:szCs w:val="20"/>
          <w:color w:val="auto"/>
        </w:rPr>
      </w:pPr>
    </w:p>
    <w:p>
      <w:pPr>
        <w:jc w:val="both"/>
        <w:ind w:firstLine="270"/>
        <w:spacing w:after="0" w:line="310" w:lineRule="auto"/>
        <w:rPr>
          <w:sz w:val="20"/>
          <w:szCs w:val="20"/>
          <w:color w:val="auto"/>
        </w:rPr>
      </w:pPr>
      <w:r>
        <w:rPr>
          <w:rFonts w:ascii="Times New Roman" w:cs="Times New Roman" w:eastAsia="Times New Roman" w:hAnsi="Times New Roman"/>
          <w:sz w:val="16"/>
          <w:szCs w:val="16"/>
          <w:color w:val="auto"/>
        </w:rPr>
        <w:t>The Company recognizes environmental liabilities when conditions requiring remediation are identified. The Company determines its liability on a site by site basis and records a liability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Internal Use Software</w:t>
      </w:r>
    </w:p>
    <w:p>
      <w:pPr>
        <w:spacing w:after="0" w:line="254" w:lineRule="exact"/>
        <w:rPr>
          <w:sz w:val="20"/>
          <w:szCs w:val="20"/>
          <w:color w:val="auto"/>
        </w:rPr>
      </w:pPr>
    </w:p>
    <w:p>
      <w:pPr>
        <w:jc w:val="both"/>
        <w:ind w:right="60" w:firstLine="270"/>
        <w:spacing w:after="0" w:line="287" w:lineRule="auto"/>
        <w:rPr>
          <w:sz w:val="20"/>
          <w:szCs w:val="20"/>
          <w:color w:val="auto"/>
        </w:rPr>
      </w:pPr>
      <w:r>
        <w:rPr>
          <w:rFonts w:ascii="Times New Roman" w:cs="Times New Roman" w:eastAsia="Times New Roman" w:hAnsi="Times New Roman"/>
          <w:sz w:val="16"/>
          <w:szCs w:val="16"/>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2004 and 2003, the Company had $40.2 million and</w:t>
      </w:r>
    </w:p>
    <w:p>
      <w:pPr>
        <w:spacing w:after="0" w:line="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$43.3 million, respectively, in unamortized capitalized internal use computer software costs. Amortization of these costs was $8.7 million, $9.0 million and $5.8 million during fiscal 2004, 2003 and 2002,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Common Share</w:t>
      </w:r>
    </w:p>
    <w:p>
      <w:pPr>
        <w:spacing w:after="0" w:line="254" w:lineRule="exact"/>
        <w:rPr>
          <w:sz w:val="20"/>
          <w:szCs w:val="20"/>
          <w:color w:val="auto"/>
        </w:rPr>
      </w:pPr>
    </w:p>
    <w:p>
      <w:pPr>
        <w:ind w:right="20" w:firstLine="270"/>
        <w:spacing w:after="0" w:line="262" w:lineRule="auto"/>
        <w:rPr>
          <w:sz w:val="20"/>
          <w:szCs w:val="20"/>
          <w:color w:val="auto"/>
        </w:rPr>
      </w:pPr>
      <w:r>
        <w:rPr>
          <w:rFonts w:ascii="Times New Roman" w:cs="Times New Roman" w:eastAsia="Times New Roman" w:hAnsi="Times New Roman"/>
          <w:sz w:val="18"/>
          <w:szCs w:val="18"/>
          <w:color w:val="auto"/>
        </w:rPr>
        <w:t>Basic earnings per common share is based on the weighted-average number of common shares outstanding each period. Diluted earnings per common share is based on the weighted-average number of common shares and dilutive potential common shares (stock options, stock appreciation rights and warrants) outstanding each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54" w:lineRule="exact"/>
        <w:rPr>
          <w:sz w:val="20"/>
          <w:szCs w:val="20"/>
          <w:color w:val="auto"/>
        </w:rPr>
      </w:pPr>
    </w:p>
    <w:p>
      <w:pPr>
        <w:jc w:val="both"/>
        <w:ind w:firstLine="270"/>
        <w:spacing w:after="0" w:line="262" w:lineRule="auto"/>
        <w:rPr>
          <w:sz w:val="20"/>
          <w:szCs w:val="20"/>
          <w:color w:val="auto"/>
        </w:rPr>
      </w:pPr>
      <w:r>
        <w:rPr>
          <w:rFonts w:ascii="Times New Roman" w:cs="Times New Roman" w:eastAsia="Times New Roman" w:hAnsi="Times New Roman"/>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w:t>
      </w:r>
    </w:p>
    <w:p>
      <w:pPr>
        <w:spacing w:after="0" w:line="254" w:lineRule="exact"/>
        <w:rPr>
          <w:sz w:val="20"/>
          <w:szCs w:val="20"/>
          <w:color w:val="auto"/>
        </w:rPr>
      </w:pPr>
    </w:p>
    <w:p>
      <w:pPr>
        <w:ind w:right="20" w:firstLine="270"/>
        <w:spacing w:after="0" w:line="296" w:lineRule="auto"/>
        <w:rPr>
          <w:sz w:val="20"/>
          <w:szCs w:val="20"/>
          <w:color w:val="auto"/>
        </w:rPr>
      </w:pPr>
      <w:r>
        <w:rPr>
          <w:rFonts w:ascii="Times New Roman" w:cs="Times New Roman" w:eastAsia="Times New Roman" w:hAnsi="Times New Roman"/>
          <w:sz w:val="16"/>
          <w:szCs w:val="16"/>
          <w:color w:val="auto"/>
        </w:rPr>
        <w:t>Investments consist of adjustable rate notes issued by a variety of borrowers (the “Notes”). The Notes have been accounted for as “available for sale securities” in accordance with Statement of Financial Accounting Standards No. 115, “Accounting for Certain Investments in Debt and Equity Securities.” Cost is equivalent to fair value at the balance sheet date as the Notes can be put back to a remarketing agent at any time at 100% of par value. The Notes are secured by an irrevocable, direct pay letter of credit. The Notes held at September 30, 2004, in the amount of $57.2 million, were redeemed on October 1, 2004. The proceeds from the Notes were used to partially fund the acquisition of Smith &amp; Hawken as discussed in Note 5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111760</wp:posOffset>
            </wp:positionV>
            <wp:extent cx="3860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8" w:name="page59"/>
    <w:bookmarkEnd w:id="58"/>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and Allowance for Doubtful Accounts</w:t>
      </w:r>
    </w:p>
    <w:p>
      <w:pPr>
        <w:spacing w:after="0" w:line="254" w:lineRule="exact"/>
        <w:rPr>
          <w:sz w:val="20"/>
          <w:szCs w:val="20"/>
          <w:color w:val="auto"/>
        </w:rPr>
      </w:pPr>
    </w:p>
    <w:p>
      <w:pPr>
        <w:ind w:right="20" w:firstLine="270"/>
        <w:spacing w:after="0" w:line="256"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allowance for doubtful accounts is our best estimate of the amount of probable losses in our existing accounts receivable. We determine the allowance based on customer risk assessment and historical write-off experience. We review our allowance for doubtful accounts monthly. Past due balances over 90 days and in excess of a specified amount are reviewed individually for collectibility. All other balances are reviewed on a pooled basis by type of receivable. Account balances are charged off against the allowance when we feel it is probable the receivable will not be recovered. We do not have any off-balance-sheet credit exposure related to our customers.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Receivables consist of the following at September 30, 2004 and 2003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Trade</w:t>
            </w:r>
          </w:p>
        </w:tc>
        <w:tc>
          <w:tcPr>
            <w:tcW w:w="3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$317.4</w:t>
            </w:r>
          </w:p>
        </w:tc>
        <w:tc>
          <w:tcPr>
            <w:tcW w:w="17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$308.3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38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$321.4</w:t>
            </w:r>
          </w:p>
        </w:tc>
        <w:tc>
          <w:tcPr>
            <w:tcW w:w="17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$319.5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changes in the allowance for doubtful accounts during the years ended September 30, 2004, 2003, and 2002 (in millions):</w:t>
      </w: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980" w:type="dxa"/>
            <w:vAlign w:val="bottom"/>
          </w:tcPr>
          <w:p>
            <w:pPr>
              <w:jc w:val="center"/>
              <w:ind w:left="8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1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net of</w:t>
            </w:r>
          </w:p>
        </w:tc>
        <w:tc>
          <w:tcPr>
            <w:tcW w:w="1440" w:type="dxa"/>
            <w:vAlign w:val="bottom"/>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980" w:type="dxa"/>
            <w:vAlign w:val="bottom"/>
          </w:tcPr>
          <w:p>
            <w:pPr>
              <w:jc w:val="center"/>
              <w:ind w:left="820"/>
              <w:spacing w:after="0"/>
              <w:rPr>
                <w:sz w:val="20"/>
                <w:szCs w:val="20"/>
                <w:color w:val="auto"/>
              </w:rPr>
            </w:pPr>
            <w:r>
              <w:rPr>
                <w:rFonts w:ascii="Times New Roman" w:cs="Times New Roman" w:eastAsia="Times New Roman" w:hAnsi="Times New Roman"/>
                <w:sz w:val="14"/>
                <w:szCs w:val="14"/>
                <w:b w:val="1"/>
                <w:bCs w:val="1"/>
                <w:color w:val="auto"/>
                <w:w w:val="95"/>
              </w:rPr>
              <w:t>Beginning of Year</w:t>
            </w:r>
          </w:p>
        </w:tc>
        <w:tc>
          <w:tcPr>
            <w:tcW w:w="15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recoveries</w:t>
            </w:r>
          </w:p>
        </w:tc>
        <w:tc>
          <w:tcPr>
            <w:tcW w:w="14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30, 2004</w:t>
            </w:r>
          </w:p>
        </w:tc>
        <w:tc>
          <w:tcPr>
            <w:tcW w:w="2980" w:type="dxa"/>
            <w:vAlign w:val="bottom"/>
            <w:shd w:val="clear" w:color="auto" w:fill="EEEEEE"/>
          </w:tcPr>
          <w:p>
            <w:pPr>
              <w:jc w:val="center"/>
              <w:ind w:left="820"/>
              <w:spacing w:after="0"/>
              <w:rPr>
                <w:sz w:val="20"/>
                <w:szCs w:val="20"/>
                <w:color w:val="auto"/>
              </w:rPr>
            </w:pPr>
            <w:r>
              <w:rPr>
                <w:rFonts w:ascii="Times New Roman" w:cs="Times New Roman" w:eastAsia="Times New Roman" w:hAnsi="Times New Roman"/>
                <w:sz w:val="18"/>
                <w:szCs w:val="18"/>
                <w:color w:val="auto"/>
                <w:w w:val="98"/>
              </w:rPr>
              <w:t>$29.0</w:t>
            </w:r>
          </w:p>
        </w:tc>
        <w:tc>
          <w:tcPr>
            <w:tcW w:w="1540" w:type="dxa"/>
            <w:vAlign w:val="bottom"/>
            <w:shd w:val="clear" w:color="auto" w:fill="EEEEEE"/>
          </w:tcPr>
          <w:p>
            <w:pPr>
              <w:jc w:val="right"/>
              <w:ind w:right="457"/>
              <w:spacing w:after="0"/>
              <w:rPr>
                <w:sz w:val="20"/>
                <w:szCs w:val="20"/>
                <w:color w:val="auto"/>
              </w:rPr>
            </w:pPr>
            <w:r>
              <w:rPr>
                <w:rFonts w:ascii="Times New Roman" w:cs="Times New Roman" w:eastAsia="Times New Roman" w:hAnsi="Times New Roman"/>
                <w:sz w:val="18"/>
                <w:szCs w:val="18"/>
                <w:color w:val="auto"/>
              </w:rPr>
              <w:t>3.4</w:t>
            </w:r>
          </w:p>
        </w:tc>
        <w:tc>
          <w:tcPr>
            <w:tcW w:w="1500" w:type="dxa"/>
            <w:vAlign w:val="bottom"/>
            <w:shd w:val="clear" w:color="auto" w:fill="EEEEEE"/>
          </w:tcPr>
          <w:p>
            <w:pPr>
              <w:jc w:val="right"/>
              <w:ind w:right="482"/>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2003</w:t>
            </w:r>
          </w:p>
        </w:tc>
        <w:tc>
          <w:tcPr>
            <w:tcW w:w="2980" w:type="dxa"/>
            <w:vAlign w:val="bottom"/>
          </w:tcPr>
          <w:p>
            <w:pPr>
              <w:jc w:val="center"/>
              <w:ind w:left="820"/>
              <w:spacing w:after="0"/>
              <w:rPr>
                <w:sz w:val="20"/>
                <w:szCs w:val="20"/>
                <w:color w:val="auto"/>
              </w:rPr>
            </w:pPr>
            <w:r>
              <w:rPr>
                <w:rFonts w:ascii="Times New Roman" w:cs="Times New Roman" w:eastAsia="Times New Roman" w:hAnsi="Times New Roman"/>
                <w:sz w:val="18"/>
                <w:szCs w:val="18"/>
                <w:color w:val="auto"/>
                <w:w w:val="98"/>
              </w:rPr>
              <w:t>$33.2</w:t>
            </w: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3.2</w:t>
            </w:r>
          </w:p>
        </w:tc>
        <w:tc>
          <w:tcPr>
            <w:tcW w:w="1500" w:type="dxa"/>
            <w:vAlign w:val="bottom"/>
          </w:tcPr>
          <w:p>
            <w:pPr>
              <w:jc w:val="right"/>
              <w:ind w:right="482"/>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30, 2002</w:t>
            </w:r>
          </w:p>
        </w:tc>
        <w:tc>
          <w:tcPr>
            <w:tcW w:w="2980" w:type="dxa"/>
            <w:vAlign w:val="bottom"/>
            <w:shd w:val="clear" w:color="auto" w:fill="EEEEEE"/>
          </w:tcPr>
          <w:p>
            <w:pPr>
              <w:jc w:val="center"/>
              <w:ind w:left="820"/>
              <w:spacing w:after="0"/>
              <w:rPr>
                <w:sz w:val="20"/>
                <w:szCs w:val="20"/>
                <w:color w:val="auto"/>
              </w:rPr>
            </w:pPr>
            <w:r>
              <w:rPr>
                <w:rFonts w:ascii="Times New Roman" w:cs="Times New Roman" w:eastAsia="Times New Roman" w:hAnsi="Times New Roman"/>
                <w:sz w:val="18"/>
                <w:szCs w:val="18"/>
                <w:color w:val="auto"/>
                <w:w w:val="98"/>
              </w:rPr>
              <w:t>$27.4</w:t>
            </w:r>
          </w:p>
        </w:tc>
        <w:tc>
          <w:tcPr>
            <w:tcW w:w="1540" w:type="dxa"/>
            <w:vAlign w:val="bottom"/>
            <w:shd w:val="clear" w:color="auto" w:fill="EEEEEE"/>
          </w:tcPr>
          <w:p>
            <w:pPr>
              <w:jc w:val="right"/>
              <w:ind w:right="457"/>
              <w:spacing w:after="0"/>
              <w:rPr>
                <w:sz w:val="20"/>
                <w:szCs w:val="20"/>
                <w:color w:val="auto"/>
              </w:rPr>
            </w:pPr>
            <w:r>
              <w:rPr>
                <w:rFonts w:ascii="Times New Roman" w:cs="Times New Roman" w:eastAsia="Times New Roman" w:hAnsi="Times New Roman"/>
                <w:sz w:val="18"/>
                <w:szCs w:val="18"/>
                <w:color w:val="auto"/>
              </w:rPr>
              <w:t>12.0</w:t>
            </w:r>
          </w:p>
        </w:tc>
        <w:tc>
          <w:tcPr>
            <w:tcW w:w="1500" w:type="dxa"/>
            <w:vAlign w:val="bottom"/>
            <w:shd w:val="clear" w:color="auto" w:fill="EEEEEE"/>
          </w:tcPr>
          <w:p>
            <w:pPr>
              <w:jc w:val="right"/>
              <w:ind w:right="482"/>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254"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market, principally determined by the FIFO method. Certain growing media inventories are accounted for by the LIFO method. At September 30, 2004 and 2003, approximately 6% of inventories, are valued at the lower of LIFO cost or market. Inventories include the cost of raw materials, labor and manufacturing overhead. The Company makes provisions for obsolete or slow-moving inventories as necessary to properly reflect inventory at the lower of cost or market value. Reserves for excess and obsolete inventories were $21.3 million and $22.0 million at September 30, 2004 and 2003,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Long-lived Assets</w:t>
      </w:r>
    </w:p>
    <w:p>
      <w:pPr>
        <w:spacing w:after="0" w:line="254" w:lineRule="exact"/>
        <w:rPr>
          <w:sz w:val="20"/>
          <w:szCs w:val="20"/>
          <w:color w:val="auto"/>
        </w:rPr>
      </w:pPr>
    </w:p>
    <w:p>
      <w:pPr>
        <w:jc w:val="both"/>
        <w:ind w:right="60" w:firstLine="270"/>
        <w:spacing w:after="0" w:line="262"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213" w:lineRule="exact"/>
        <w:rPr>
          <w:sz w:val="20"/>
          <w:szCs w:val="20"/>
          <w:color w:val="auto"/>
        </w:rPr>
      </w:pPr>
    </w:p>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Depreciation of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 25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40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 15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 years</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60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3 – 8 years</w:t>
            </w:r>
          </w:p>
        </w:tc>
        <w:tc>
          <w:tcPr>
            <w:tcW w:w="1720" w:type="dxa"/>
            <w:vAlign w:val="bottom"/>
          </w:tcPr>
          <w:p>
            <w:pPr>
              <w:spacing w:after="0"/>
              <w:rPr>
                <w:sz w:val="18"/>
                <w:szCs w:val="18"/>
                <w:color w:val="auto"/>
              </w:rPr>
            </w:pPr>
          </w:p>
        </w:tc>
      </w:tr>
      <w:tr>
        <w:trPr>
          <w:trHeight w:val="108"/>
        </w:trPr>
        <w:tc>
          <w:tcPr>
            <w:tcW w:w="17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316"/>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57</w:t>
            </w:r>
          </w:p>
        </w:tc>
        <w:tc>
          <w:tcPr>
            <w:tcW w:w="2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jc w:val="both"/>
        <w:ind w:right="80" w:firstLine="324"/>
        <w:spacing w:after="0" w:line="275" w:lineRule="auto"/>
        <w:rPr>
          <w:sz w:val="20"/>
          <w:szCs w:val="20"/>
          <w:color w:val="auto"/>
        </w:rPr>
      </w:pPr>
      <w:r>
        <w:rPr>
          <w:rFonts w:ascii="Times New Roman" w:cs="Times New Roman" w:eastAsia="Times New Roman" w:hAnsi="Times New Roman"/>
          <w:sz w:val="18"/>
          <w:szCs w:val="18"/>
          <w:color w:val="auto"/>
        </w:rPr>
        <w:t>Interest capitalized on capital projects amounted to $1.4 million and $1.1 million during fiscal 2003 and 2002, respectively. There was no capitalized interest in fiscal 2004.</w:t>
      </w:r>
    </w:p>
    <w:p>
      <w:pPr>
        <w:spacing w:after="0" w:line="201" w:lineRule="exact"/>
        <w:rPr>
          <w:sz w:val="20"/>
          <w:szCs w:val="20"/>
          <w:color w:val="auto"/>
        </w:rPr>
      </w:pPr>
    </w:p>
    <w:p>
      <w:pPr>
        <w:jc w:val="both"/>
        <w:ind w:right="80" w:firstLine="324"/>
        <w:spacing w:after="0" w:line="262" w:lineRule="auto"/>
        <w:rPr>
          <w:sz w:val="20"/>
          <w:szCs w:val="20"/>
          <w:color w:val="auto"/>
        </w:rPr>
      </w:pPr>
      <w:r>
        <w:rPr>
          <w:rFonts w:ascii="Times New Roman" w:cs="Times New Roman" w:eastAsia="Times New Roman" w:hAnsi="Times New Roman"/>
          <w:sz w:val="18"/>
          <w:szCs w:val="18"/>
          <w:color w:val="auto"/>
        </w:rPr>
        <w:t>Management assesses the recoverability of long-lived assets being amortized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21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Management also assesses the recoverability of goodwill and intangible assets whenever events or changes in circumstances indicate that the carrying amount of an asset may not be recoverable from its discounted future cash flows. Goodwill and intangible assets not being amortized are reviewed for impairment at least annually during the first fiscal quarter. If it is determined that an impairment of intangible assets has occurred, an impairment loss is recognized for the amount by which the carrying value of the asset exceeds its estimated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Exchange Instruments</w:t>
      </w:r>
    </w:p>
    <w:p>
      <w:pPr>
        <w:spacing w:after="0" w:line="254" w:lineRule="exact"/>
        <w:rPr>
          <w:sz w:val="20"/>
          <w:szCs w:val="20"/>
          <w:color w:val="auto"/>
        </w:rPr>
      </w:pPr>
    </w:p>
    <w:p>
      <w:pPr>
        <w:ind w:right="680" w:firstLine="270"/>
        <w:spacing w:after="0" w:line="262" w:lineRule="auto"/>
        <w:rPr>
          <w:sz w:val="20"/>
          <w:szCs w:val="20"/>
          <w:color w:val="auto"/>
        </w:rPr>
      </w:pPr>
      <w:r>
        <w:rPr>
          <w:rFonts w:ascii="Times New Roman" w:cs="Times New Roman" w:eastAsia="Times New Roman" w:hAnsi="Times New Roman"/>
          <w:sz w:val="18"/>
          <w:szCs w:val="18"/>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21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All assets and liabilities in the balance sheets of foreign subsidiaries whose functional currency is other than the U.S. dollar are translated into U.S. dollar equivalents at fiscal year-end exchange rates. Translation gains and losses are accumulated as a separate component of other comprehensive income and included in shareholders’ equity. Income and expense items are translated at the twelve month average of the month end exchange rates. Foreign currency transaction gains and losses are included in the determination of net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54" w:lineRule="exact"/>
        <w:rPr>
          <w:sz w:val="20"/>
          <w:szCs w:val="20"/>
          <w:color w:val="auto"/>
        </w:rPr>
      </w:pPr>
    </w:p>
    <w:p>
      <w:pPr>
        <w:ind w:right="160" w:firstLine="27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w:t>
      </w:r>
    </w:p>
    <w:p>
      <w:pPr>
        <w:spacing w:after="0" w:line="2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219"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To manage certain of its cash flow exposures, the Company has entered into forward exchange contracts and interest rate swap agreements. The forward exchange contracts are designated as hedges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Company’s foreign currency exposure associated with future cash flows. The change in the value of the amounts payable or receivable under forward exchange contracts are recorded as adjustments to other income or expense. The interest rate swap agreements are designated as hedges of the Company’s interest rate risk associated with certain variable rate debt. The change in the value of the amounts payable or receivable under the swap agreements are recorded as adjustments to interest expense. Unrealized gains or losses resulting from valuing these swaps at fair value are recorded in other comprehensive income.</w:t>
      </w:r>
    </w:p>
    <w:p>
      <w:pPr>
        <w:spacing w:after="0" w:line="184"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The Company adopted Statement of Financial Accounting Standards No. 133, which is amended by Statement of Financial Accounting Standards No. 149, “Amendment of Statement 133 on Derivative Instruments and Hedging Activities”, as of October 2000. Since adoption, there have been no gains or losses recognized in earnings for hedge ineffectiveness or due to excluding a portion of the value from measuring effectiveness.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 Awards</w:t>
      </w:r>
    </w:p>
    <w:p>
      <w:pPr>
        <w:spacing w:after="0" w:line="254" w:lineRule="exact"/>
        <w:rPr>
          <w:sz w:val="20"/>
          <w:szCs w:val="20"/>
          <w:color w:val="auto"/>
        </w:rPr>
      </w:pPr>
    </w:p>
    <w:p>
      <w:pPr>
        <w:ind w:right="80" w:firstLine="270"/>
        <w:spacing w:after="0" w:line="255" w:lineRule="auto"/>
        <w:rPr>
          <w:sz w:val="20"/>
          <w:szCs w:val="20"/>
          <w:color w:val="auto"/>
        </w:rPr>
      </w:pPr>
      <w:r>
        <w:rPr>
          <w:rFonts w:ascii="Times New Roman" w:cs="Times New Roman" w:eastAsia="Times New Roman" w:hAnsi="Times New Roman"/>
          <w:sz w:val="18"/>
          <w:szCs w:val="18"/>
          <w:color w:val="auto"/>
        </w:rPr>
        <w:t>Beginning in fiscal 2003, the Company began expensing prospective grants of employee stock-based compensation awards in accordance with Statement of Financial Accounting Standards No. 123, “Accounting for Stock-Based Compensation” as amended by Statement of Financial Accounting Standards No. 148, “Accounting for Stock-Based Compensation — Transition and Disclosure — an Amendment of SFAS No. 123”. The fair value of awards granted in fiscal 2003 and subsequent years are expensed ratably over the vesting period, which has historically been three years, except for grants to members of the Board of Directors, which have a six month vesting period. Prior to fiscal 2003, the Company accounted for stock options under APB 25, “Accounting for Stock Issued to Employees” and, as allowable, adopted only the disclosure provisions of SFAS No. 123.</w:t>
      </w:r>
    </w:p>
    <w:p>
      <w:pPr>
        <w:spacing w:after="0" w:line="220" w:lineRule="exact"/>
        <w:rPr>
          <w:sz w:val="20"/>
          <w:szCs w:val="20"/>
          <w:color w:val="auto"/>
        </w:rPr>
      </w:pPr>
    </w:p>
    <w:p>
      <w:pPr>
        <w:ind w:firstLine="324"/>
        <w:spacing w:after="0" w:line="285" w:lineRule="auto"/>
        <w:rPr>
          <w:sz w:val="20"/>
          <w:szCs w:val="20"/>
          <w:color w:val="auto"/>
        </w:rPr>
      </w:pPr>
      <w:r>
        <w:rPr>
          <w:rFonts w:ascii="Times New Roman" w:cs="Times New Roman" w:eastAsia="Times New Roman" w:hAnsi="Times New Roman"/>
          <w:sz w:val="16"/>
          <w:szCs w:val="16"/>
          <w:color w:val="auto"/>
        </w:rPr>
        <w:t>On March 31, 2004, the Financial Accounting Standard Board (FASB) issued its Exposure Draft, “Share-Based Payment” which is a proposed amendment to SFAS No. 123. Generally, the approach in the Exposure Draft is similar to the approach described in SFAS No. 123. The Exposure Draft would require all share-based payments to employees, including grants of employee stock options and stock appreciation rights, to be recognized in the income statement based on their fair values. Companies would no longer have the option to account for their share-based awards to employees using APB Opinion No. 25 (the intrinsic value model) or SFAS No. 123 (the fair value model). As the Company is accounting for its employee stock-based compensation awards in accordance with</w:t>
      </w:r>
    </w:p>
    <w:p>
      <w:pPr>
        <w:spacing w:after="0"/>
        <w:rPr>
          <w:sz w:val="20"/>
          <w:szCs w:val="20"/>
          <w:color w:val="auto"/>
        </w:rPr>
      </w:pPr>
      <w:r>
        <w:rPr>
          <w:rFonts w:ascii="Times New Roman" w:cs="Times New Roman" w:eastAsia="Times New Roman" w:hAnsi="Times New Roman"/>
          <w:sz w:val="18"/>
          <w:szCs w:val="18"/>
          <w:color w:val="auto"/>
        </w:rPr>
        <w:t>SFAS No. 123, adoption of the proposed amendment is not expected to have a significant effect on the Company’s results of operations.</w:t>
      </w:r>
    </w:p>
    <w:p>
      <w:pPr>
        <w:spacing w:after="0" w:line="24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fiscal 2004, the Company granted 59,000 options to executive officers and key employees in our international organization, 76,250 options to members of the Board of Directors and 387,750 stock appreciation rights to executive officers and other key employees in our domestic organization. In fiscal 2003, the Company granted 404,500 options to officers and key employees, 63,000 options to members of the Board of Directors, and 239,000 stock appreciation rights to other key employees. The exercise price for the option awards and the stated price for the stock appreciation rights awards were determined by the closing price of the Company’s common shares on the date of grant. The related compensation expense recorded in fiscal 2004 and 2003 was $7.8 million and $4.8 million, respectively.</w:t>
      </w:r>
    </w:p>
    <w:p>
      <w:pPr>
        <w:spacing w:after="0" w:line="220" w:lineRule="exact"/>
        <w:rPr>
          <w:sz w:val="20"/>
          <w:szCs w:val="20"/>
          <w:color w:val="auto"/>
        </w:rPr>
      </w:pPr>
    </w:p>
    <w:p>
      <w:pPr>
        <w:ind w:right="400" w:firstLine="324"/>
        <w:spacing w:after="0" w:line="262" w:lineRule="auto"/>
        <w:rPr>
          <w:sz w:val="20"/>
          <w:szCs w:val="20"/>
          <w:color w:val="auto"/>
        </w:rPr>
      </w:pPr>
      <w:r>
        <w:rPr>
          <w:rFonts w:ascii="Times New Roman" w:cs="Times New Roman" w:eastAsia="Times New Roman" w:hAnsi="Times New Roman"/>
          <w:sz w:val="18"/>
          <w:szCs w:val="18"/>
          <w:color w:val="auto"/>
        </w:rPr>
        <w:t>The Black-Scholes value of options granted in fiscal 2002 was $10.7 million. The Black-Scholes value of all stock-based compensation grants awarded during fiscal 2004 and fiscal 2003 was $11.0 million and $13.1 million, respectively. Had compensation expense been recognized for the periods ended September 30, 2004, 2003 and 2002 in accordance with the recognition provisions of SFAS No. 123,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61" w:name="page62"/>
    <w:bookmarkEnd w:id="61"/>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would have recorded net income and net income per share as follows (in millions, except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For the fiscal years ended</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50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100.9</w:t>
            </w: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103.8</w:t>
            </w: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included in reported net income, net of tax</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Total stock-based employee compensation expense determined under fair value</w:t>
            </w:r>
          </w:p>
        </w:tc>
        <w:tc>
          <w:tcPr>
            <w:tcW w:w="3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based method for all awards, net of tax</w:t>
            </w:r>
          </w:p>
        </w:tc>
        <w:tc>
          <w:tcPr>
            <w:tcW w:w="360" w:type="dxa"/>
            <w:vAlign w:val="bottom"/>
            <w:shd w:val="clear" w:color="auto" w:fill="EEEEEE"/>
          </w:tcPr>
          <w:p>
            <w:pPr>
              <w:spacing w:after="0"/>
              <w:rPr>
                <w:sz w:val="20"/>
                <w:szCs w:val="20"/>
                <w:color w:val="auto"/>
              </w:rPr>
            </w:pPr>
          </w:p>
        </w:tc>
        <w:tc>
          <w:tcPr>
            <w:tcW w:w="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08"/>
        </w:trPr>
        <w:tc>
          <w:tcPr>
            <w:tcW w:w="5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as adjusted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as adjusted:</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50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 adjusted” amounts shown above are not necessarily representative of the impact on net income in future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54"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Certain reclassifications have been made to the prior years’ financial statements to conform to fiscal 2004 classifications.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DETAIL OF CERTAIN FINANCIAL STATEMENT ACCOUNTS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9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60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Finished goods</w:t>
            </w:r>
          </w:p>
        </w:tc>
        <w:tc>
          <w:tcPr>
            <w:tcW w:w="3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$217.3</w:t>
            </w:r>
          </w:p>
        </w:tc>
        <w:tc>
          <w:tcPr>
            <w:tcW w:w="9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Raw materials</w:t>
            </w:r>
          </w:p>
        </w:tc>
        <w:tc>
          <w:tcPr>
            <w:tcW w:w="350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c>
          <w:tcPr>
            <w:tcW w:w="9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108"/>
        </w:trPr>
        <w:tc>
          <w:tcPr>
            <w:tcW w:w="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316"/>
        </w:trPr>
        <w:tc>
          <w:tcPr>
            <w:tcW w:w="580" w:type="dxa"/>
            <w:vAlign w:val="bottom"/>
          </w:tcPr>
          <w:p>
            <w:pPr>
              <w:spacing w:after="0"/>
              <w:rPr>
                <w:sz w:val="24"/>
                <w:szCs w:val="24"/>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$290.1</w:t>
            </w:r>
          </w:p>
        </w:tc>
        <w:tc>
          <w:tcPr>
            <w:tcW w:w="9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7"/>
        </w:trPr>
        <w:tc>
          <w:tcPr>
            <w:tcW w:w="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61"/>
        </w:trPr>
        <w:tc>
          <w:tcPr>
            <w:tcW w:w="5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3"/>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60</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2" w:name="page63"/>
    <w:bookmarkEnd w:id="6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15"/>
                <w:szCs w:val="15"/>
                <w:color w:val="auto"/>
              </w:rPr>
            </w:pPr>
          </w:p>
        </w:tc>
        <w:tc>
          <w:tcPr>
            <w:tcW w:w="168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Land and improvements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42.5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Buildings</w:t>
            </w:r>
          </w:p>
        </w:tc>
        <w:tc>
          <w:tcPr>
            <w:tcW w:w="25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Furniture and fixtures</w:t>
            </w:r>
          </w:p>
        </w:tc>
        <w:tc>
          <w:tcPr>
            <w:tcW w:w="25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38.9</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Software</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5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17.7</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(301.4)</w:t>
            </w:r>
          </w:p>
        </w:tc>
        <w:tc>
          <w:tcPr>
            <w:tcW w:w="1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$ 328.0</w:t>
            </w:r>
          </w:p>
        </w:tc>
        <w:tc>
          <w:tcPr>
            <w:tcW w:w="12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$ 338.2</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and other compensation accruals</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$ 66.7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26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w w:val="93"/>
              </w:rPr>
              <w:t>107.1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accruals</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1340" w:type="dxa"/>
            <w:vAlign w:val="bottom"/>
            <w:gridSpan w:val="2"/>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$261.9</w:t>
            </w: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240" w:type="dxa"/>
            <w:vAlign w:val="bottom"/>
            <w:gridSpan w:val="2"/>
          </w:tcPr>
          <w:p>
            <w:pPr>
              <w:spacing w:after="0"/>
              <w:rPr>
                <w:sz w:val="5"/>
                <w:szCs w:val="5"/>
                <w:color w:val="auto"/>
              </w:rPr>
            </w:pPr>
          </w:p>
        </w:tc>
        <w:tc>
          <w:tcPr>
            <w:tcW w:w="420" w:type="dxa"/>
            <w:vAlign w:val="bottom"/>
            <w:gridSpan w:val="2"/>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pension and postretirement liabilities</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Legal and environmental reserves</w:t>
            </w:r>
          </w:p>
        </w:tc>
        <w:tc>
          <w:tcPr>
            <w:tcW w:w="26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660" w:type="dxa"/>
            <w:vAlign w:val="bottom"/>
            <w:gridSpan w:val="4"/>
          </w:tcPr>
          <w:p>
            <w:pPr>
              <w:spacing w:after="0"/>
              <w:rPr>
                <w:sz w:val="8"/>
                <w:szCs w:val="8"/>
                <w:color w:val="auto"/>
              </w:rPr>
            </w:pPr>
          </w:p>
        </w:tc>
        <w:tc>
          <w:tcPr>
            <w:tcW w:w="1760" w:type="dxa"/>
            <w:vAlign w:val="bottom"/>
            <w:gridSpan w:val="4"/>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17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MARKETING AGREEMENT</w:t>
      </w:r>
    </w:p>
    <w:p>
      <w:pPr>
        <w:spacing w:after="0" w:line="254" w:lineRule="exact"/>
        <w:rPr>
          <w:sz w:val="20"/>
          <w:szCs w:val="20"/>
          <w:color w:val="auto"/>
        </w:rPr>
      </w:pPr>
    </w:p>
    <w:p>
      <w:pPr>
        <w:ind w:right="40" w:firstLine="270"/>
        <w:spacing w:after="0" w:line="296" w:lineRule="auto"/>
        <w:rPr>
          <w:sz w:val="20"/>
          <w:szCs w:val="20"/>
          <w:color w:val="auto"/>
        </w:rPr>
      </w:pPr>
      <w:r>
        <w:rPr>
          <w:rFonts w:ascii="Times New Roman" w:cs="Times New Roman" w:eastAsia="Times New Roman" w:hAnsi="Times New Roman"/>
          <w:sz w:val="16"/>
          <w:szCs w:val="16"/>
          <w:color w:val="auto"/>
        </w:rPr>
        <w:t>Effective September 30, 1998, the Company entered into an agreement with Monsanto Company (“Monsanto”) for exclusive domestic and international marketing and agency rights to Monsanto’s consumer Roundup®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 business. Each year’s percentage varies in accordance with the terms of the agreement based on the achievement of two earnings thresholds and on commission rates that vary by threshold and program year.</w:t>
      </w:r>
    </w:p>
    <w:p>
      <w:pPr>
        <w:spacing w:after="0" w:line="189" w:lineRule="exact"/>
        <w:rPr>
          <w:sz w:val="20"/>
          <w:szCs w:val="20"/>
          <w:color w:val="auto"/>
        </w:rPr>
      </w:pPr>
    </w:p>
    <w:p>
      <w:pPr>
        <w:ind w:firstLine="324"/>
        <w:spacing w:after="0" w:line="285" w:lineRule="auto"/>
        <w:rPr>
          <w:sz w:val="20"/>
          <w:szCs w:val="20"/>
          <w:color w:val="auto"/>
        </w:rPr>
      </w:pPr>
      <w:r>
        <w:rPr>
          <w:rFonts w:ascii="Times New Roman" w:cs="Times New Roman" w:eastAsia="Times New Roman" w:hAnsi="Times New Roman"/>
          <w:sz w:val="16"/>
          <w:szCs w:val="16"/>
          <w:color w:val="auto"/>
        </w:rPr>
        <w:t>The agreement also requires the Company to make fixed annual payments to Monsanto as a contribution against the overall expenses of the Roundup®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fiscal 2003, the fifth year of the agreement, the annual payments to Monsanto increase to at least $25 million, which include per annum interest charges at 8%. The annual payments may be increased above</w:t>
      </w:r>
    </w:p>
    <w:p>
      <w:pPr>
        <w:ind w:right="640"/>
        <w:spacing w:after="0" w:line="323" w:lineRule="auto"/>
        <w:rPr>
          <w:sz w:val="20"/>
          <w:szCs w:val="20"/>
          <w:color w:val="auto"/>
        </w:rPr>
      </w:pPr>
      <w:r>
        <w:rPr>
          <w:rFonts w:ascii="Times New Roman" w:cs="Times New Roman" w:eastAsia="Times New Roman" w:hAnsi="Times New Roman"/>
          <w:sz w:val="16"/>
          <w:szCs w:val="16"/>
          <w:color w:val="auto"/>
        </w:rPr>
        <w:t>$25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68" w:lineRule="exact"/>
        <w:rPr>
          <w:sz w:val="20"/>
          <w:szCs w:val="20"/>
          <w:color w:val="auto"/>
        </w:rPr>
      </w:pPr>
    </w:p>
    <w:p>
      <w:pPr>
        <w:ind w:firstLine="324"/>
        <w:spacing w:after="0" w:line="339" w:lineRule="auto"/>
        <w:rPr>
          <w:sz w:val="20"/>
          <w:szCs w:val="20"/>
          <w:color w:val="auto"/>
        </w:rPr>
      </w:pPr>
      <w:r>
        <w:rPr>
          <w:rFonts w:ascii="Times New Roman" w:cs="Times New Roman" w:eastAsia="Times New Roman" w:hAnsi="Times New Roman"/>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90805</wp:posOffset>
            </wp:positionV>
            <wp:extent cx="3860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18" w:right="31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considers this method of accounting for the contribution payments to be appropriate after consideration of the likely term of the agreement, the Company’s ability to terminate the agreement without paying the deferred amounts, and the fact that a significant portion of the deferred amount is never paid, even if the agreement is not terminated prior to 2018, unless significant earnings targets are exceeded.</w:t>
      </w:r>
    </w:p>
    <w:p>
      <w:pPr>
        <w:spacing w:after="0" w:line="213"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6"/>
          <w:szCs w:val="16"/>
          <w:color w:val="auto"/>
        </w:rPr>
        <w:t>The express terms of the agreement permit the Company to terminate the agreement only upon material breach, material fraud or material willful misconduct by Monsanto, as such terms are defined in the agreement, or upon the sale of the Consumer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9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217" w:lineRule="exact"/>
        <w:rPr>
          <w:sz w:val="20"/>
          <w:szCs w:val="20"/>
          <w:color w:val="auto"/>
        </w:rPr>
      </w:pPr>
    </w:p>
    <w:p>
      <w:pPr>
        <w:jc w:val="both"/>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2004, contribution payments and related per annum charges of approximately $47.6 million had been deferred under the agreement. This amount is considered a contingent obligation and has not been reflected in the financial statements as of and for the year then ended.</w:t>
      </w:r>
    </w:p>
    <w:p>
      <w:pPr>
        <w:spacing w:after="0" w:line="220"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Monsanto has disclosed that it is accruing the $20 million fixed contribution fee per year beginning in the fourth quarter of Monsanto’s fiscal year 1998, plus interest on the deferred portion.</w:t>
      </w:r>
    </w:p>
    <w:p>
      <w:pPr>
        <w:spacing w:after="0" w:line="20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marketing agreement has no definite term except as it relates to the European Union countries. With respect to the European Union countries, the initial term of the marketing agreement extends through September 30, 2005 and may be renewed at the option of both parties for three successive terms ending on September 30, 2008, 2015 and 2018, with a separate determination being made by the parties at least six months prior to the expiration of each such term as to whether to commence a subsequent renewal term. If Monsanto does not agree to the renewal terms with respect to the European countries, the commission structure will be recalculated in a manner likely to be favorable to Scotts. For countries outside of the European Union, the agreement continues indefinitely unless terminated by either party. The agreement provides Monsanto with the right to terminate the agreement for an event of default (as defined in the agreement) by the Company or a change of control of Monsanto or the sale of the consumer Roundup® business. The agreement provides the Company with the right to terminate the agreement in certain circumstances including an event of default by Monsanto or the sale of the consumer Roundup® business. Unless Monsanto terminates the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we will be entitled to a termination fee in excess of $100 million. If we terminate the agreement upon an uncured material breach, material fraud or material willful misconduct by Monsanto, we will be entitled to receive a termination fee in excess of $100 million if the termination occurs prior to September 30, 2008. The termination fee declines over time from $100 million to a minimum of $16 million for terminations between September 30, 2008 and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135255</wp:posOffset>
            </wp:positionV>
            <wp:extent cx="386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In consideration for the rights granted to the Company under the agreement for North America, the Company was required to pay a marketing fee of</w:t>
      </w:r>
    </w:p>
    <w:p>
      <w:pPr>
        <w:spacing w:after="0" w:line="21"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$33 million to Monsanto. The Company has deferred this amount on the basis that the payment will provide a future benefit through commissions that will be earned under the agreement and is amortizing the balance over ten years, which is the estimated likely term of the agreement. The unamortized balance of the deferred marketing fee was $13.2 million as September 30, 2004.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CHARGES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2004 Charges</w:t>
      </w:r>
    </w:p>
    <w:p>
      <w:pPr>
        <w:spacing w:after="0" w:line="254"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During fiscal 2004, the Company recorded $9.7 million of restructuring and other charges. Charges related to our North America distribution restructuring were classified as cost of sales in the amount of $0.6 million. Severance costs related to our International Profit Improvement Plan and the restructuring of our International team amounted to $6.1 million. The restructuring of our Global Business Information Services group amounted to $3.0 million and related primarily to severance and outside service costs. The severance costs incurred in fiscal 2004 are related to the reduction of 75 administrative and production employees. These expenses are classified as selling, general and administrative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2003 Charges</w:t>
      </w:r>
    </w:p>
    <w:p>
      <w:pPr>
        <w:spacing w:after="0" w:line="254"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During fiscal 2003, the Company recorded $17.1 million of restructuring and other charges. Costs of $5.3 million for warehouse lease buyouts and relocation of inventory associated with exiting certain warehouses in North America, and $3.8 million related to a plan to optimize our International supply chain were included in cost of sales. Severance and consulting costs of $5.3 million for the continued European integration efforts that began in the fourth quarter of fiscal 2002, and $2.7 million of administrative facility exit costs in North America were charged to selling, general and administrative expense. The severance costs incurred in fiscal 2003 are related to the reduction of 78 administrative and production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2002 Charges</w:t>
      </w:r>
    </w:p>
    <w:p>
      <w:pPr>
        <w:spacing w:after="0" w:line="254" w:lineRule="exact"/>
        <w:rPr>
          <w:sz w:val="20"/>
          <w:szCs w:val="20"/>
          <w:color w:val="auto"/>
        </w:rPr>
      </w:pPr>
    </w:p>
    <w:p>
      <w:pPr>
        <w:ind w:right="240" w:firstLine="270"/>
        <w:spacing w:after="0" w:line="258" w:lineRule="auto"/>
        <w:rPr>
          <w:sz w:val="20"/>
          <w:szCs w:val="20"/>
          <w:color w:val="auto"/>
        </w:rPr>
      </w:pPr>
      <w:r>
        <w:rPr>
          <w:rFonts w:ascii="Times New Roman" w:cs="Times New Roman" w:eastAsia="Times New Roman" w:hAnsi="Times New Roman"/>
          <w:sz w:val="18"/>
          <w:szCs w:val="18"/>
          <w:color w:val="auto"/>
        </w:rPr>
        <w:t>During fiscal 2002, the Company recorded $8.1 million of restructuring and other charges. The Company recorded $4.0 million of severance and pension related costs associated with reductions of headcount from the closure of a manufacturing facility in Bramford, England in selling, general and administrative costs. Closure of the Bramford facility was completed in May 2003 with the transfer of United Kingdom fertilizer production to our Howden, United Kingdom facility. Severance costs incurred in fiscal 2002 are related to the reduction of 37 administrative and production employees.</w:t>
      </w:r>
    </w:p>
    <w:p>
      <w:pPr>
        <w:spacing w:after="0" w:line="21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certain restructuring costs related to relocation of personnel, equipment and inventory are to be expensed in the period the costs are actually incurred. During fiscal 2002, inventory relocation costs of approximately $1.7 million were incurred and paid and were recorded as restructuring and other charges in cost of sales. Approximately $2.4 million of employee relocation and related costs were also incurred and paid in fiscal 2002 and were recorded as restructuring and other charges in operating expenses. These relocation charges related to a plan to optimize the North America supply chain that was initiated in the third and fourth quarters of fiscal 2001.</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rollforward of the cash portion of the restructuring and other charges accrued in fiscal 2004 and 2003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September,</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September,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Description</w:t>
            </w:r>
          </w:p>
        </w:tc>
        <w:tc>
          <w:tcPr>
            <w:tcW w:w="172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Severance</w:t>
            </w:r>
          </w:p>
        </w:tc>
        <w:tc>
          <w:tcPr>
            <w:tcW w:w="1720" w:type="dxa"/>
            <w:vAlign w:val="bottom"/>
            <w:shd w:val="clear" w:color="auto" w:fill="EEEEEE"/>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15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SG&amp;A</w:t>
            </w: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Facility exit costs</w:t>
            </w:r>
          </w:p>
        </w:tc>
        <w:tc>
          <w:tcPr>
            <w:tcW w:w="172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SG&amp;A/COS</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related costs</w:t>
            </w:r>
          </w:p>
        </w:tc>
        <w:tc>
          <w:tcPr>
            <w:tcW w:w="1720" w:type="dxa"/>
            <w:vAlign w:val="bottom"/>
            <w:shd w:val="clear" w:color="auto" w:fill="EEEEEE"/>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15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SG&amp;A</w:t>
            </w: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24"/>
                <w:szCs w:val="24"/>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September,</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September,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40" w:type="dxa"/>
            <w:vAlign w:val="bottom"/>
            <w:gridSpan w:val="2"/>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Description</w:t>
            </w:r>
          </w:p>
        </w:tc>
        <w:tc>
          <w:tcPr>
            <w:tcW w:w="172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2340" w:type="dxa"/>
            <w:vAlign w:val="bottom"/>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Severance</w:t>
            </w:r>
          </w:p>
        </w:tc>
        <w:tc>
          <w:tcPr>
            <w:tcW w:w="1720" w:type="dxa"/>
            <w:vAlign w:val="bottom"/>
            <w:shd w:val="clear" w:color="auto" w:fill="EEEEEE"/>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2340" w:type="dxa"/>
            <w:vAlign w:val="bottom"/>
            <w:shd w:val="clear" w:color="auto" w:fill="EEEEEE"/>
          </w:tcPr>
          <w:p>
            <w:pPr>
              <w:jc w:val="right"/>
              <w:ind w:right="757"/>
              <w:spacing w:after="0"/>
              <w:rPr>
                <w:sz w:val="20"/>
                <w:szCs w:val="20"/>
                <w:color w:val="auto"/>
              </w:rPr>
            </w:pPr>
            <w:r>
              <w:rPr>
                <w:rFonts w:ascii="Times New Roman" w:cs="Times New Roman" w:eastAsia="Times New Roman" w:hAnsi="Times New Roman"/>
                <w:sz w:val="18"/>
                <w:szCs w:val="18"/>
                <w:color w:val="auto"/>
              </w:rPr>
              <w:t>SG&amp;A</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$(5.4)</w:t>
            </w: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Facility exit costs</w:t>
            </w:r>
          </w:p>
        </w:tc>
        <w:tc>
          <w:tcPr>
            <w:tcW w:w="172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23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SG&amp;A/COS</w:t>
            </w: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related costs</w:t>
            </w:r>
          </w:p>
        </w:tc>
        <w:tc>
          <w:tcPr>
            <w:tcW w:w="1720" w:type="dxa"/>
            <w:vAlign w:val="bottom"/>
            <w:shd w:val="clear" w:color="auto" w:fill="EEEEEE"/>
          </w:tcPr>
          <w:p>
            <w:pPr>
              <w:jc w:val="center"/>
              <w:ind w:left="77"/>
              <w:spacing w:after="0"/>
              <w:rPr>
                <w:sz w:val="20"/>
                <w:szCs w:val="20"/>
                <w:color w:val="auto"/>
              </w:rPr>
            </w:pPr>
            <w:r>
              <w:rPr>
                <w:rFonts w:ascii="Times New Roman" w:cs="Times New Roman" w:eastAsia="Times New Roman" w:hAnsi="Times New Roman"/>
                <w:sz w:val="18"/>
                <w:szCs w:val="18"/>
                <w:color w:val="auto"/>
                <w:w w:val="99"/>
              </w:rPr>
              <w:t>Cash</w:t>
            </w:r>
          </w:p>
        </w:tc>
        <w:tc>
          <w:tcPr>
            <w:tcW w:w="2340" w:type="dxa"/>
            <w:vAlign w:val="bottom"/>
            <w:shd w:val="clear" w:color="auto" w:fill="EEEEEE"/>
          </w:tcPr>
          <w:p>
            <w:pPr>
              <w:jc w:val="right"/>
              <w:ind w:right="757"/>
              <w:spacing w:after="0"/>
              <w:rPr>
                <w:sz w:val="20"/>
                <w:szCs w:val="20"/>
                <w:color w:val="auto"/>
              </w:rPr>
            </w:pPr>
            <w:r>
              <w:rPr>
                <w:rFonts w:ascii="Times New Roman" w:cs="Times New Roman" w:eastAsia="Times New Roman" w:hAnsi="Times New Roman"/>
                <w:sz w:val="18"/>
                <w:szCs w:val="18"/>
                <w:color w:val="auto"/>
              </w:rPr>
              <w:t>SG&amp;A</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w:t>
            </w:r>
          </w:p>
        </w:tc>
        <w:tc>
          <w:tcPr>
            <w:tcW w:w="1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w:t>
            </w:r>
          </w:p>
        </w:tc>
        <w:tc>
          <w:tcPr>
            <w:tcW w:w="420" w:type="dxa"/>
            <w:vAlign w:val="bottom"/>
          </w:tcPr>
          <w:p>
            <w:pPr>
              <w:spacing w:after="0"/>
              <w:rPr>
                <w:sz w:val="24"/>
                <w:szCs w:val="24"/>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960" w:firstLine="324"/>
        <w:spacing w:after="0" w:line="275" w:lineRule="auto"/>
        <w:rPr>
          <w:sz w:val="20"/>
          <w:szCs w:val="20"/>
          <w:color w:val="auto"/>
        </w:rPr>
      </w:pPr>
      <w:r>
        <w:rPr>
          <w:rFonts w:ascii="Times New Roman" w:cs="Times New Roman" w:eastAsia="Times New Roman" w:hAnsi="Times New Roman"/>
          <w:sz w:val="18"/>
          <w:szCs w:val="18"/>
          <w:color w:val="auto"/>
        </w:rPr>
        <w:t>The restructuring activities to which these costs apply are expected to be largely completed in fiscal 2005. The balance of the accrued charges at September 30, 2004 and 2003 are included in accrued liabilities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54"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Effective October 2, 2004, Scotts acquired all outstanding shares of Smith &amp; Hawken®, a leading brand in the outdoor living and gardening lifestyle category, for a total cost of $74.9 million. Of the total purchase price, $58.9 million was paid in cash, while debt and other purchase obligations of $16.0 million were assumed. Final purchase accounting allocations are expected to be completed by the end of the first fiscal quarter of 2005. Likewise, the allocation of the purchase price to assets acquired and liabilities assumed, based on their estimated fair values at the date of acquisition, is also pending. Smith &amp; Hawken® products are sold primarily through 58 retail stores around the United States as well as through catalog and internet sales. Smith &amp; Hawken® competes in several categories, including garden tools, gardening containers, pottery, live goods and high-end outdoor furniture.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From fiscal 2002 through 2004, the Company’s Scotts Lawnservice® segment acquired 43 individual lawn service entities for a total cost of $89.4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details of these transactions by fiscal year (dollar amounts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1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individual acquisitions</w:t>
            </w:r>
          </w:p>
        </w:tc>
        <w:tc>
          <w:tcPr>
            <w:tcW w:w="12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EEEEEE"/>
          </w:tcPr>
          <w:p>
            <w:pPr>
              <w:jc w:val="right"/>
              <w:ind w:right="357"/>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$4.0</w:t>
            </w:r>
          </w:p>
        </w:tc>
        <w:tc>
          <w:tcPr>
            <w:tcW w:w="16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$30.6</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Portion of cost paid in cash</w:t>
            </w:r>
          </w:p>
        </w:tc>
        <w:tc>
          <w:tcPr>
            <w:tcW w:w="12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shd w:val="clear" w:color="auto" w:fill="EEEEEE"/>
          </w:tcPr>
          <w:p>
            <w:pPr>
              <w:jc w:val="right"/>
              <w:ind w:right="357"/>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Notes Issued and liabilities assumed</w:t>
            </w: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13.4</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shd w:val="clear" w:color="auto" w:fill="EEEEEE"/>
          </w:tcPr>
          <w:p>
            <w:pPr>
              <w:jc w:val="right"/>
              <w:ind w:right="357"/>
              <w:spacing w:after="0"/>
              <w:rPr>
                <w:sz w:val="20"/>
                <w:szCs w:val="20"/>
                <w:color w:val="auto"/>
              </w:rPr>
            </w:pPr>
            <w:r>
              <w:rPr>
                <w:rFonts w:ascii="Times New Roman" w:cs="Times New Roman" w:eastAsia="Times New Roman" w:hAnsi="Times New Roman"/>
                <w:sz w:val="18"/>
                <w:szCs w:val="18"/>
                <w:color w:val="auto"/>
              </w:rPr>
              <w:t>$22.3</w:t>
            </w:r>
          </w:p>
        </w:tc>
        <w:tc>
          <w:tcPr>
            <w:tcW w:w="106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0.6</w:t>
            </w:r>
          </w:p>
        </w:tc>
        <w:tc>
          <w:tcPr>
            <w:tcW w:w="160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Working capital and property, plant and equipment</w:t>
            </w:r>
          </w:p>
        </w:tc>
        <w:tc>
          <w:tcPr>
            <w:tcW w:w="1200" w:type="dxa"/>
            <w:vAlign w:val="bottom"/>
            <w:shd w:val="clear" w:color="auto" w:fill="EEEEEE"/>
          </w:tcPr>
          <w:p>
            <w:pPr>
              <w:jc w:val="right"/>
              <w:ind w:right="315"/>
              <w:spacing w:after="0"/>
              <w:rPr>
                <w:sz w:val="20"/>
                <w:szCs w:val="20"/>
                <w:color w:val="auto"/>
              </w:rPr>
            </w:pPr>
            <w:r>
              <w:rPr>
                <w:rFonts w:ascii="Times New Roman" w:cs="Times New Roman" w:eastAsia="Times New Roman" w:hAnsi="Times New Roman"/>
                <w:sz w:val="18"/>
                <w:szCs w:val="18"/>
                <w:color w:val="auto"/>
              </w:rPr>
              <w:t>0.4</w:t>
            </w:r>
          </w:p>
        </w:tc>
        <w:tc>
          <w:tcPr>
            <w:tcW w:w="1600" w:type="dxa"/>
            <w:vAlign w:val="bottom"/>
            <w:shd w:val="clear" w:color="auto" w:fill="EEEEEE"/>
          </w:tcPr>
          <w:p>
            <w:pPr>
              <w:jc w:val="right"/>
              <w:ind w:right="357"/>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shd w:val="clear" w:color="auto" w:fill="EEEEEE"/>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In addition to the above, the Company acquired the minority interest in the Scotts LawnService® business during fiscal 2004 for $5.2 million ($2.0 million in cash and $3.2 million in seller notes). The purchase price was allocated to goodwill in the amount of $5.1 million and other intangible assets in the amount of $0.1.</w:t>
      </w:r>
    </w:p>
    <w:p>
      <w:pPr>
        <w:spacing w:after="0" w:line="213"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color w:val="auto"/>
        </w:rPr>
        <w:t>Of the goodwill recorded, $3.0 million, $20.4 million, and $42.7 million for fiscal years 2004, 2003, and 2002, respectively, was deductible for tax purposes. Goodwill is not being amortized for financial reporting purposes. Other intangible assets consist primarily of customer lists and non-compete agreements, and are being amortized for financial reporting purposes over a period of 7 and 3 years, respectively.</w:t>
      </w:r>
    </w:p>
    <w:p>
      <w:pPr>
        <w:spacing w:after="0" w:line="21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fiscal 2004, the Company acquired the minority interest in a subsidiary for $3.2 million, the cost of which was allocated to goodwill. The Company’s North America segment acquired two entities to enter the pottery business in fiscal 2003. The aggregate purchase price for these two entities was $3.2 million, all of which was paid in cash. Goodwill of $0.8 million pertaining to these acquisitions is tax deductible. Other intangible assets, primarily customer accounts of $1.0 million, and inventory of $1.4 million were also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aforementioned acquisitions made prior to September 30, 2004, individually or in the aggregate, are deemed immaterial for pro forma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 NET</w:t>
      </w:r>
    </w:p>
    <w:p>
      <w:pPr>
        <w:spacing w:after="0" w:line="254"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cash flow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222" w:lineRule="exact"/>
        <w:rPr>
          <w:sz w:val="20"/>
          <w:szCs w:val="20"/>
          <w:color w:val="auto"/>
        </w:rPr>
      </w:pPr>
    </w:p>
    <w:p>
      <w:pPr>
        <w:ind w:right="100" w:firstLine="324"/>
        <w:spacing w:after="0" w:line="310" w:lineRule="auto"/>
        <w:rPr>
          <w:sz w:val="20"/>
          <w:szCs w:val="20"/>
          <w:color w:val="auto"/>
        </w:rPr>
      </w:pPr>
      <w:r>
        <w:rPr>
          <w:rFonts w:ascii="Times New Roman" w:cs="Times New Roman" w:eastAsia="Times New Roman" w:hAnsi="Times New Roman"/>
          <w:sz w:val="16"/>
          <w:szCs w:val="16"/>
          <w:color w:val="auto"/>
        </w:rPr>
        <w:t>Intangible assets include patents, tradenames and other intangible assets which are valued at acquisition with the assistance of independent appraisals where material, or through other valuation techniques. Patents, trademarks and other intangible assets are being amortized on the straight-line method over periods varying from 7 to 40 years. The useful lives of intangible assets still subject to amortization were not revised as a result of the adoption of SFAS No. 142.</w:t>
      </w:r>
    </w:p>
    <w:p>
      <w:pPr>
        <w:spacing w:after="0" w:line="17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of intangible assets has occurred, an impairment loss is recognized for the amount by which the carrying value of the asset exceeds its estimated fair value.</w:t>
      </w:r>
    </w:p>
    <w:p>
      <w:pPr>
        <w:spacing w:after="0" w:line="217" w:lineRule="exact"/>
        <w:rPr>
          <w:sz w:val="20"/>
          <w:szCs w:val="20"/>
          <w:color w:val="auto"/>
        </w:rPr>
      </w:pPr>
    </w:p>
    <w:p>
      <w:pPr>
        <w:ind w:right="520" w:firstLine="324"/>
        <w:spacing w:after="0" w:line="275" w:lineRule="auto"/>
        <w:rPr>
          <w:sz w:val="20"/>
          <w:szCs w:val="20"/>
          <w:color w:val="auto"/>
        </w:rPr>
      </w:pPr>
      <w:r>
        <w:rPr>
          <w:rFonts w:ascii="Times New Roman" w:cs="Times New Roman" w:eastAsia="Times New Roman" w:hAnsi="Times New Roman"/>
          <w:sz w:val="18"/>
          <w:szCs w:val="18"/>
          <w:color w:val="auto"/>
        </w:rPr>
        <w:t>In the first quarter of fiscal 2004, the Company completed its annual impairment analysis and determined that a charge for annual impairment was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goodwill and intangible assets as of September 30, 2004 and 2003 (dollars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0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70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700" w:type="dxa"/>
            <w:vAlign w:val="bottom"/>
          </w:tcPr>
          <w:p>
            <w:pPr>
              <w:jc w:val="right"/>
              <w:ind w:right="36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left="45"/>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7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80" w:type="dxa"/>
            <w:vAlign w:val="bottom"/>
          </w:tcPr>
          <w:p>
            <w:pPr>
              <w:spacing w:after="0"/>
              <w:rPr>
                <w:sz w:val="15"/>
                <w:szCs w:val="15"/>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7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$69.1</w:t>
            </w:r>
          </w:p>
        </w:tc>
        <w:tc>
          <w:tcPr>
            <w:tcW w:w="1700" w:type="dxa"/>
            <w:vAlign w:val="bottom"/>
          </w:tcPr>
          <w:p>
            <w:pPr>
              <w:jc w:val="right"/>
              <w:ind w:right="481"/>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8"/>
                <w:szCs w:val="18"/>
                <w:color w:val="auto"/>
              </w:rPr>
            </w:pP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$66.9</w:t>
            </w:r>
          </w:p>
        </w:tc>
        <w:tc>
          <w:tcPr>
            <w:tcW w:w="170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Customer accounts</w:t>
            </w:r>
          </w:p>
        </w:tc>
        <w:tc>
          <w:tcPr>
            <w:tcW w:w="1080" w:type="dxa"/>
            <w:vAlign w:val="bottom"/>
            <w:shd w:val="clear" w:color="auto" w:fill="EEEEEE"/>
          </w:tcPr>
          <w:p>
            <w:pPr>
              <w:jc w:val="right"/>
              <w:ind w:right="301"/>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shd w:val="clear" w:color="auto" w:fill="EEEEEE"/>
          </w:tcPr>
          <w:p>
            <w:pPr>
              <w:jc w:val="right"/>
              <w:ind w:right="321"/>
              <w:spacing w:after="0"/>
              <w:rPr>
                <w:sz w:val="20"/>
                <w:szCs w:val="20"/>
                <w:color w:val="auto"/>
              </w:rPr>
            </w:pPr>
            <w:r>
              <w:rPr>
                <w:rFonts w:ascii="Times New Roman" w:cs="Times New Roman" w:eastAsia="Times New Roman" w:hAnsi="Times New Roman"/>
                <w:sz w:val="18"/>
                <w:szCs w:val="18"/>
                <w:color w:val="auto"/>
              </w:rPr>
              <w:t>44.4</w:t>
            </w:r>
          </w:p>
        </w:tc>
        <w:tc>
          <w:tcPr>
            <w:tcW w:w="1700" w:type="dxa"/>
            <w:vAlign w:val="bottom"/>
            <w:shd w:val="clear" w:color="auto" w:fill="EEEEEE"/>
          </w:tcPr>
          <w:p>
            <w:pPr>
              <w:jc w:val="right"/>
              <w:ind w:right="481"/>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42.3</w:t>
            </w:r>
          </w:p>
        </w:tc>
        <w:tc>
          <w:tcPr>
            <w:tcW w:w="1700" w:type="dxa"/>
            <w:vAlign w:val="bottom"/>
            <w:shd w:val="clear" w:color="auto" w:fill="EEEEEE"/>
          </w:tcPr>
          <w:p>
            <w:pPr>
              <w:jc w:val="right"/>
              <w:ind w:right="441"/>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Tradenames</w:t>
            </w: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11.0</w:t>
            </w:r>
          </w:p>
        </w:tc>
        <w:tc>
          <w:tcPr>
            <w:tcW w:w="1700" w:type="dxa"/>
            <w:vAlign w:val="bottom"/>
          </w:tcPr>
          <w:p>
            <w:pPr>
              <w:jc w:val="right"/>
              <w:ind w:right="48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128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11.3</w:t>
            </w:r>
          </w:p>
        </w:tc>
        <w:tc>
          <w:tcPr>
            <w:tcW w:w="170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EEEEEE"/>
          </w:tcPr>
          <w:p>
            <w:pPr>
              <w:jc w:val="right"/>
              <w:ind w:right="301"/>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EEEEEE"/>
          </w:tcPr>
          <w:p>
            <w:pPr>
              <w:jc w:val="right"/>
              <w:ind w:right="321"/>
              <w:spacing w:after="0"/>
              <w:rPr>
                <w:sz w:val="20"/>
                <w:szCs w:val="20"/>
                <w:color w:val="auto"/>
              </w:rPr>
            </w:pPr>
            <w:r>
              <w:rPr>
                <w:rFonts w:ascii="Times New Roman" w:cs="Times New Roman" w:eastAsia="Times New Roman" w:hAnsi="Times New Roman"/>
                <w:sz w:val="18"/>
                <w:szCs w:val="18"/>
                <w:color w:val="auto"/>
              </w:rPr>
              <w:t>56.4</w:t>
            </w:r>
          </w:p>
        </w:tc>
        <w:tc>
          <w:tcPr>
            <w:tcW w:w="1700" w:type="dxa"/>
            <w:vAlign w:val="bottom"/>
            <w:shd w:val="clear" w:color="auto" w:fill="EEEEEE"/>
          </w:tcPr>
          <w:p>
            <w:pPr>
              <w:jc w:val="right"/>
              <w:ind w:right="481"/>
              <w:spacing w:after="0"/>
              <w:rPr>
                <w:sz w:val="20"/>
                <w:szCs w:val="20"/>
                <w:color w:val="auto"/>
              </w:rPr>
            </w:pPr>
            <w:r>
              <w:rPr>
                <w:rFonts w:ascii="Times New Roman" w:cs="Times New Roman" w:eastAsia="Times New Roman" w:hAnsi="Times New Roman"/>
                <w:sz w:val="18"/>
                <w:szCs w:val="18"/>
                <w:color w:val="auto"/>
              </w:rPr>
              <w:t>(41.6)</w:t>
            </w: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54.6</w:t>
            </w:r>
          </w:p>
        </w:tc>
        <w:tc>
          <w:tcPr>
            <w:tcW w:w="1700" w:type="dxa"/>
            <w:vAlign w:val="bottom"/>
            <w:shd w:val="clear" w:color="auto" w:fill="EEEEEE"/>
          </w:tcPr>
          <w:p>
            <w:pPr>
              <w:jc w:val="right"/>
              <w:ind w:right="441"/>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Total amortizable</w:t>
            </w: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Tradenames</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326.6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320.3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431.0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417.9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406.5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Total goodwill and</w:t>
            </w: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intangible assets, net</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848.9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2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835.5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to the net carrying value of goodwill by segment for the fiscal years ended September 30, 2004 and 2003, are as follows (in millions):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Scotts</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LawnService®</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5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September 30, 2002</w:t>
            </w:r>
          </w:p>
        </w:tc>
        <w:tc>
          <w:tcPr>
            <w:tcW w:w="13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4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7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Increases due to acquisitions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Reduction of final purchase price of previous acquisitions</w:t>
            </w:r>
          </w:p>
        </w:tc>
        <w:tc>
          <w:tcPr>
            <w:tcW w:w="184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(primarily cumulative translation)</w:t>
            </w:r>
          </w:p>
        </w:tc>
        <w:tc>
          <w:tcPr>
            <w:tcW w:w="18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as of September 30, 2003</w:t>
            </w:r>
          </w:p>
        </w:tc>
        <w:tc>
          <w:tcPr>
            <w:tcW w:w="13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46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7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Increases due to acquisitions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Reduction of final purchase price of previous acquisitions</w:t>
            </w:r>
          </w:p>
        </w:tc>
        <w:tc>
          <w:tcPr>
            <w:tcW w:w="184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8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460" w:type="dxa"/>
            <w:vAlign w:val="bottom"/>
          </w:tcPr>
          <w:p>
            <w:pPr>
              <w:spacing w:after="0"/>
              <w:rPr>
                <w:sz w:val="24"/>
                <w:szCs w:val="24"/>
                <w:color w:val="auto"/>
              </w:rPr>
            </w:pPr>
          </w:p>
        </w:tc>
        <w:tc>
          <w:tcPr>
            <w:tcW w:w="7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100.3</w:t>
            </w:r>
          </w:p>
        </w:tc>
        <w:tc>
          <w:tcPr>
            <w:tcW w:w="7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5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amortization expense for the years ended September 30, 2004, 2003 and 2002 was $8.3 million, $8.6 million and $5.7 million,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amortization expense for the existing amortizable intangible assets for the years ended September 30, is as follows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jc w:val="right"/>
              <w:ind w:right="3252"/>
              <w:spacing w:after="0"/>
              <w:rPr>
                <w:sz w:val="20"/>
                <w:szCs w:val="20"/>
                <w:color w:val="auto"/>
              </w:rPr>
            </w:pPr>
            <w:r>
              <w:rPr>
                <w:rFonts w:ascii="Times New Roman" w:cs="Times New Roman" w:eastAsia="Times New Roman" w:hAnsi="Times New Roman"/>
                <w:sz w:val="18"/>
                <w:szCs w:val="18"/>
                <w:color w:val="auto"/>
                <w:w w:val="94"/>
              </w:rPr>
              <w:t>2005</w:t>
            </w:r>
          </w:p>
        </w:tc>
        <w:tc>
          <w:tcPr>
            <w:tcW w:w="4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jc w:val="right"/>
              <w:ind w:right="3252"/>
              <w:spacing w:after="0"/>
              <w:rPr>
                <w:sz w:val="20"/>
                <w:szCs w:val="20"/>
                <w:color w:val="auto"/>
              </w:rPr>
            </w:pPr>
            <w:r>
              <w:rPr>
                <w:rFonts w:ascii="Times New Roman" w:cs="Times New Roman" w:eastAsia="Times New Roman" w:hAnsi="Times New Roman"/>
                <w:sz w:val="18"/>
                <w:szCs w:val="18"/>
                <w:color w:val="auto"/>
                <w:w w:val="94"/>
              </w:rPr>
              <w:t>2006</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jc w:val="right"/>
              <w:ind w:right="3252"/>
              <w:spacing w:after="0"/>
              <w:rPr>
                <w:sz w:val="20"/>
                <w:szCs w:val="20"/>
                <w:color w:val="auto"/>
              </w:rPr>
            </w:pPr>
            <w:r>
              <w:rPr>
                <w:rFonts w:ascii="Times New Roman" w:cs="Times New Roman" w:eastAsia="Times New Roman" w:hAnsi="Times New Roman"/>
                <w:sz w:val="18"/>
                <w:szCs w:val="18"/>
                <w:color w:val="auto"/>
                <w:w w:val="94"/>
              </w:rPr>
              <w:t>2007</w:t>
            </w:r>
          </w:p>
        </w:tc>
        <w:tc>
          <w:tcPr>
            <w:tcW w:w="4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jc w:val="right"/>
              <w:ind w:right="3252"/>
              <w:spacing w:after="0"/>
              <w:rPr>
                <w:sz w:val="20"/>
                <w:szCs w:val="20"/>
                <w:color w:val="auto"/>
              </w:rPr>
            </w:pPr>
            <w:r>
              <w:rPr>
                <w:rFonts w:ascii="Times New Roman" w:cs="Times New Roman" w:eastAsia="Times New Roman" w:hAnsi="Times New Roman"/>
                <w:sz w:val="18"/>
                <w:szCs w:val="18"/>
                <w:color w:val="auto"/>
                <w:w w:val="94"/>
              </w:rPr>
              <w:t>2008</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EEEEEE"/>
          </w:tcPr>
          <w:p>
            <w:pPr>
              <w:jc w:val="right"/>
              <w:ind w:right="3252"/>
              <w:spacing w:after="0"/>
              <w:rPr>
                <w:sz w:val="20"/>
                <w:szCs w:val="20"/>
                <w:color w:val="auto"/>
              </w:rPr>
            </w:pPr>
            <w:r>
              <w:rPr>
                <w:rFonts w:ascii="Times New Roman" w:cs="Times New Roman" w:eastAsia="Times New Roman" w:hAnsi="Times New Roman"/>
                <w:sz w:val="18"/>
                <w:szCs w:val="18"/>
                <w:color w:val="auto"/>
                <w:w w:val="94"/>
              </w:rPr>
              <w:t>2009</w:t>
            </w:r>
          </w:p>
        </w:tc>
        <w:tc>
          <w:tcPr>
            <w:tcW w:w="4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720" w:type="dxa"/>
            <w:vAlign w:val="bottom"/>
          </w:tcPr>
          <w:p>
            <w:pPr>
              <w:spacing w:after="0"/>
              <w:rPr>
                <w:sz w:val="18"/>
                <w:szCs w:val="18"/>
                <w:color w:val="auto"/>
              </w:rPr>
            </w:pPr>
          </w:p>
        </w:tc>
      </w:tr>
      <w:tr>
        <w:trPr>
          <w:trHeight w:val="108"/>
        </w:trPr>
        <w:tc>
          <w:tcPr>
            <w:tcW w:w="17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8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316"/>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66</w:t>
            </w:r>
          </w:p>
        </w:tc>
        <w:tc>
          <w:tcPr>
            <w:tcW w:w="36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RETIREMENT PLANS</w:t>
      </w:r>
    </w:p>
    <w:p>
      <w:pPr>
        <w:spacing w:after="0" w:line="254" w:lineRule="exact"/>
        <w:rPr>
          <w:sz w:val="20"/>
          <w:szCs w:val="20"/>
          <w:color w:val="auto"/>
        </w:rPr>
      </w:pPr>
    </w:p>
    <w:p>
      <w:pPr>
        <w:ind w:firstLine="270"/>
        <w:spacing w:after="0" w:line="253" w:lineRule="auto"/>
        <w:rPr>
          <w:sz w:val="20"/>
          <w:szCs w:val="20"/>
          <w:color w:val="auto"/>
        </w:rPr>
      </w:pPr>
      <w:r>
        <w:rPr>
          <w:rFonts w:ascii="Times New Roman" w:cs="Times New Roman" w:eastAsia="Times New Roman" w:hAnsi="Times New Roman"/>
          <w:sz w:val="18"/>
          <w:szCs w:val="18"/>
          <w:color w:val="auto"/>
        </w:rPr>
        <w:t>The Company offers a defined contribution profit sharing and 401(k) plan for substantially all U.S. employees. The majority of full and part-time employees may participate in the plan on the first day of the month after being hired, with a portion of the workforce being required to wait 60 days. The plan allows participants to contribute up to 75% of their compensation in the form of pre-tax contributions, not to exceed the annual Internal Revenue Service (IRS) maximum deferral amount.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taxable wage base. Domestic employees of the Company are eligible to receive base contributions on the first day of the month following the date of hire with a portion of the workforce eligible to receive base contributions on the first day of the month after completing one year of service. Participants become fully vested in the Company’s base contribution after three years of service. The Company recorded charges of $9.7 million, $9.6 million and $7.3 million under the plan in fiscal 2004, 2003 and 2002, respectively.</w:t>
      </w:r>
    </w:p>
    <w:p>
      <w:pPr>
        <w:spacing w:after="0" w:line="22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conjunction with the decision to offer the expanded defined contribution profit sharing and 401(k) plan to domestic Company associates, management decided to freeze benefits under certain defined benefit pension plans as of December 31, 1997 and close the plan to new associates. These pension plans covered substantially all full-time U.S. associates who had completed one year of eligible service and reached the age of 21. 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222" w:lineRule="exact"/>
        <w:rPr>
          <w:sz w:val="20"/>
          <w:szCs w:val="20"/>
          <w:color w:val="auto"/>
        </w:rPr>
      </w:pPr>
    </w:p>
    <w:p>
      <w:pPr>
        <w:jc w:val="both"/>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also sponsors the following pension plans associated with the International businesses it has acquired: Scotts International BV (Netherlands), ASEF BV (Netherlands), The Scotts Company Ltd. (United Kingdom), Miracle Garden Care Ltd. (United Kingdom), Scotts France SAS, Scotts Celaflor GmbH (Germany) and Scotts Celaflor HG (Austria). These plans generally cover all associates of the respective businesses and retirement benefits are generally based on years of service and compensation levels. The pension plans for Scotts International BV, ASEF BV, The Scotts Company Ltd., and Miracle Garden Care Ltd. are funded plans. The remaining International pension plans are not funded by separately held plan assets.</w:t>
      </w:r>
    </w:p>
    <w:p>
      <w:pPr>
        <w:spacing w:after="0" w:line="22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fiscal 2004, the two existing U.K. plans were closed to new participants, with the existing participants having the option of remaining in the plan and continuing to accrue benefits or converting their participation to a new defined contribution plan. All newly hired associates of Scotts U.K. will participate in the new defined contribution plan. In connection with the closure of a manufacturing plant in Bramford, England, completed in May 2003, special termination benefits of $1.5 million were recorded as a component of restructuring expense in September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right="34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tables present information about benefit obligations, plan assets, annual expense, assumptions and other information about the Company’s defined benefit pension plans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Curtailed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Defined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International</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9"/>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Supplemental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11"/>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Benefit Plans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w:t>
            </w: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90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w w:val="98"/>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$ 89.8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$ 86.6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w:t>
            </w:r>
          </w:p>
        </w:tc>
        <w:tc>
          <w:tcPr>
            <w:tcW w:w="4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0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w w:val="98"/>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$ 59.2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300" w:type="dxa"/>
            <w:vAlign w:val="bottom"/>
            <w:shd w:val="clear" w:color="auto" w:fill="EEEEEE"/>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Amounts recognized in the statement of</w:t>
            </w:r>
          </w:p>
        </w:tc>
        <w:tc>
          <w:tcPr>
            <w:tcW w:w="20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tcBorders>
              <w:right w:val="single" w:sz="8" w:color="EEEEEE"/>
            </w:tcBorders>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position consist of:</w:t>
            </w:r>
          </w:p>
        </w:tc>
        <w:tc>
          <w:tcPr>
            <w:tcW w:w="200" w:type="dxa"/>
            <w:vAlign w:val="bottom"/>
            <w:tcBorders>
              <w:right w:val="single" w:sz="8" w:color="EEEEEE"/>
            </w:tcBorders>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4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00" w:type="dxa"/>
            <w:vAlign w:val="bottom"/>
            <w:tcBorders>
              <w:right w:val="single" w:sz="8" w:color="EEEEEE"/>
            </w:tcBorders>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60" w:type="dxa"/>
            <w:vAlign w:val="bottom"/>
            <w:tcBorders>
              <w:right w:val="single" w:sz="8" w:color="EEEEEE"/>
            </w:tcBorders>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40" w:type="dxa"/>
            <w:vAlign w:val="bottom"/>
            <w:tcBorders>
              <w:right w:val="single" w:sz="8" w:color="EEEEEE"/>
            </w:tcBorders>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0" w:type="dxa"/>
            <w:vAlign w:val="bottom"/>
            <w:tcBorders>
              <w:right w:val="single" w:sz="8" w:color="EEEEEE"/>
            </w:tcBorders>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$(27.4)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7"/>
          </w:tcPr>
          <w:p>
            <w:pPr>
              <w:jc w:val="right"/>
              <w:ind w:right="32"/>
              <w:spacing w:after="0"/>
              <w:rPr>
                <w:sz w:val="20"/>
                <w:szCs w:val="20"/>
                <w:color w:val="auto"/>
              </w:rPr>
            </w:pPr>
            <w:r>
              <w:rPr>
                <w:rFonts w:ascii="Times New Roman" w:cs="Times New Roman" w:eastAsia="Times New Roman" w:hAnsi="Times New Roman"/>
                <w:sz w:val="18"/>
                <w:szCs w:val="18"/>
                <w:color w:val="auto"/>
              </w:rPr>
              <w:t>$ (2.3)</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losses</w:t>
            </w:r>
          </w:p>
        </w:tc>
        <w:tc>
          <w:tcPr>
            <w:tcW w:w="90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amount recognized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7"/>
          </w:tcPr>
          <w:p>
            <w:pPr>
              <w:jc w:val="right"/>
              <w:ind w:right="32"/>
              <w:spacing w:after="0"/>
              <w:rPr>
                <w:sz w:val="20"/>
                <w:szCs w:val="20"/>
                <w:color w:val="auto"/>
              </w:rPr>
            </w:pPr>
            <w:r>
              <w:rPr>
                <w:rFonts w:ascii="Times New Roman" w:cs="Times New Roman" w:eastAsia="Times New Roman" w:hAnsi="Times New Roman"/>
                <w:sz w:val="18"/>
                <w:szCs w:val="18"/>
                <w:color w:val="auto"/>
              </w:rPr>
              <w:t>$ (1.5)</w:t>
            </w:r>
          </w:p>
        </w:tc>
        <w:tc>
          <w:tcPr>
            <w:tcW w:w="9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(1.5)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117"/>
              <w:spacing w:after="0"/>
              <w:rPr>
                <w:sz w:val="20"/>
                <w:szCs w:val="20"/>
                <w:color w:val="auto"/>
              </w:rPr>
            </w:pPr>
            <w:r>
              <w:rPr>
                <w:rFonts w:ascii="Times New Roman" w:cs="Times New Roman" w:eastAsia="Times New Roman" w:hAnsi="Times New Roman"/>
                <w:sz w:val="18"/>
                <w:szCs w:val="18"/>
                <w:color w:val="auto"/>
                <w:w w:val="93"/>
              </w:rPr>
              <w:t>5.0- 5.5%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0"/>
              </w:rPr>
              <w:t>5.75%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0"/>
              </w:rPr>
              <w:t>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6"/>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4"/>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w w:val="93"/>
              </w:rPr>
              <w:t>3.0- 4.0%</w:t>
            </w: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4"/>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w w:val="93"/>
              </w:rPr>
              <w:t>3.0- 4.0%</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60" w:type="dxa"/>
            <w:vAlign w:val="bottom"/>
            <w:gridSpan w:val="4"/>
            <w:shd w:val="clear" w:color="auto" w:fill="EEEEEE"/>
          </w:tcPr>
          <w:p>
            <w:pPr>
              <w:jc w:val="right"/>
              <w:ind w:right="92"/>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Defined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International</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Supplemental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5"/>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Benefit Plans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180" w:type="dxa"/>
            <w:vAlign w:val="bottom"/>
          </w:tcPr>
          <w:p>
            <w:pPr>
              <w:spacing w:after="0"/>
              <w:rPr>
                <w:sz w:val="22"/>
                <w:szCs w:val="22"/>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22"/>
                <w:szCs w:val="22"/>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3"/>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$ 4.0</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ind w:left="480"/>
              <w:spacing w:after="0"/>
              <w:rPr>
                <w:sz w:val="20"/>
                <w:szCs w:val="20"/>
                <w:color w:val="auto"/>
              </w:rPr>
            </w:pPr>
            <w:r>
              <w:rPr>
                <w:rFonts w:ascii="Times New Roman" w:cs="Times New Roman" w:eastAsia="Times New Roman" w:hAnsi="Times New Roman"/>
                <w:sz w:val="18"/>
                <w:szCs w:val="18"/>
                <w:color w:val="auto"/>
                <w:w w:val="88"/>
              </w:rPr>
              <w:t>0.1</w:t>
            </w: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w w:val="88"/>
              </w:rPr>
              <w:t>0.1</w:t>
            </w: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gridSpan w:val="5"/>
          </w:tcPr>
          <w:p>
            <w:pPr>
              <w:jc w:val="right"/>
              <w:ind w:right="282"/>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(5.3)</w:t>
            </w: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4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(0.3)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180" w:type="dxa"/>
            <w:vAlign w:val="bottom"/>
            <w:shd w:val="clear" w:color="auto" w:fill="EEEEEE"/>
          </w:tcPr>
          <w:p>
            <w:pPr>
              <w:spacing w:after="0"/>
              <w:rPr>
                <w:sz w:val="18"/>
                <w:szCs w:val="18"/>
                <w:color w:val="auto"/>
              </w:rPr>
            </w:pPr>
          </w:p>
        </w:tc>
        <w:tc>
          <w:tcPr>
            <w:tcW w:w="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$ 7.0</w:t>
            </w:r>
          </w:p>
        </w:tc>
        <w:tc>
          <w:tcPr>
            <w:tcW w:w="28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$ 8.0</w:t>
            </w:r>
          </w:p>
        </w:tc>
        <w:tc>
          <w:tcPr>
            <w:tcW w:w="20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w w:val="95"/>
              </w:rPr>
              <w:t>$0.1</w:t>
            </w:r>
          </w:p>
        </w:tc>
        <w:tc>
          <w:tcPr>
            <w:tcW w:w="8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80" w:type="dxa"/>
            <w:vAlign w:val="bottom"/>
            <w:gridSpan w:val="3"/>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w w:val="95"/>
              </w:rPr>
              <w:t>$0.1</w:t>
            </w:r>
          </w:p>
        </w:tc>
        <w:tc>
          <w:tcPr>
            <w:tcW w:w="2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808080"/>
            </w:tcBorders>
            <w:gridSpan w:val="2"/>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Defined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International</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Supplemental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Benefit Plan</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Benefit Plans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2004</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2002</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3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2002</w:t>
            </w:r>
          </w:p>
        </w:tc>
        <w:tc>
          <w:tcPr>
            <w:tcW w:w="9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8"/>
                <w:szCs w:val="18"/>
                <w:color w:val="auto"/>
              </w:rPr>
              <w:t>6.75%</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7.5%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5.5- 6.5%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shd w:val="clear" w:color="auto" w:fill="EEEEEE"/>
          </w:tcPr>
          <w:p>
            <w:pPr>
              <w:jc w:val="right"/>
              <w:ind w:right="144"/>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w w:val="95"/>
              </w:rPr>
              <w:t>8.0%</w:t>
            </w:r>
          </w:p>
        </w:tc>
        <w:tc>
          <w:tcPr>
            <w:tcW w:w="14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6.0- 8.0%</w:t>
            </w:r>
          </w:p>
        </w:tc>
        <w:tc>
          <w:tcPr>
            <w:tcW w:w="1320" w:type="dxa"/>
            <w:vAlign w:val="bottom"/>
            <w:shd w:val="clear" w:color="auto" w:fill="EEEEEE"/>
          </w:tcPr>
          <w:p>
            <w:pPr>
              <w:jc w:val="right"/>
              <w:ind w:right="222"/>
              <w:spacing w:after="0"/>
              <w:rPr>
                <w:sz w:val="20"/>
                <w:szCs w:val="20"/>
                <w:color w:val="auto"/>
              </w:rPr>
            </w:pPr>
            <w:r>
              <w:rPr>
                <w:rFonts w:ascii="Times New Roman" w:cs="Times New Roman" w:eastAsia="Times New Roman" w:hAnsi="Times New Roman"/>
                <w:sz w:val="18"/>
                <w:szCs w:val="18"/>
                <w:color w:val="auto"/>
              </w:rPr>
              <w:t>7.0- 8.0%</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4.0- 8.0%</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EEEEEE"/>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EEEEEE"/>
          </w:tcPr>
          <w:p>
            <w:pPr>
              <w:jc w:val="right"/>
              <w:ind w:right="5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284"/>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3.0- 4.0%</w:t>
            </w: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3.0- 4.0%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2.5- 4.0%</w:t>
            </w:r>
          </w:p>
        </w:tc>
        <w:tc>
          <w:tcPr>
            <w:tcW w:w="26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240" w:type="dxa"/>
            <w:vAlign w:val="bottom"/>
            <w:gridSpan w:val="2"/>
          </w:tcPr>
          <w:p>
            <w:pPr>
              <w:jc w:val="center"/>
              <w:ind w:left="646"/>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224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w w:val="97"/>
              </w:rPr>
              <w:t>Curtailed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tcPr>
          <w:p>
            <w:pPr>
              <w:jc w:val="center"/>
              <w:ind w:right="933"/>
              <w:spacing w:after="0" w:line="149" w:lineRule="exact"/>
              <w:rPr>
                <w:sz w:val="20"/>
                <w:szCs w:val="20"/>
                <w:color w:val="auto"/>
              </w:rPr>
            </w:pPr>
            <w:r>
              <w:rPr>
                <w:rFonts w:ascii="Times New Roman" w:cs="Times New Roman" w:eastAsia="Times New Roman" w:hAnsi="Times New Roman"/>
                <w:sz w:val="14"/>
                <w:szCs w:val="14"/>
                <w:b w:val="1"/>
                <w:bCs w:val="1"/>
                <w:color w:val="auto"/>
                <w:w w:val="94"/>
              </w:rPr>
              <w:t>Defined</w:t>
            </w:r>
          </w:p>
        </w:tc>
        <w:tc>
          <w:tcPr>
            <w:tcW w:w="2240" w:type="dxa"/>
            <w:vAlign w:val="bottom"/>
            <w:gridSpan w:val="2"/>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620" w:type="dxa"/>
            <w:vAlign w:val="bottom"/>
          </w:tcPr>
          <w:p>
            <w:pPr>
              <w:jc w:val="center"/>
              <w:ind w:left="2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Supplemental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40" w:type="dxa"/>
            <w:vAlign w:val="bottom"/>
            <w:gridSpan w:val="2"/>
          </w:tcPr>
          <w:p>
            <w:pPr>
              <w:jc w:val="center"/>
              <w:ind w:left="646"/>
              <w:spacing w:after="0"/>
              <w:rPr>
                <w:sz w:val="20"/>
                <w:szCs w:val="20"/>
                <w:color w:val="auto"/>
              </w:rPr>
            </w:pPr>
            <w:r>
              <w:rPr>
                <w:rFonts w:ascii="Times New Roman" w:cs="Times New Roman" w:eastAsia="Times New Roman" w:hAnsi="Times New Roman"/>
                <w:sz w:val="14"/>
                <w:szCs w:val="14"/>
                <w:b w:val="1"/>
                <w:bCs w:val="1"/>
                <w:color w:val="auto"/>
                <w:w w:val="97"/>
              </w:rPr>
              <w:t>Benefit Plan</w:t>
            </w:r>
          </w:p>
        </w:tc>
        <w:tc>
          <w:tcPr>
            <w:tcW w:w="2240" w:type="dxa"/>
            <w:vAlign w:val="bottom"/>
            <w:gridSpan w:val="2"/>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2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 asset allocations:</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Target for September 30, 2005:</w:t>
            </w: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rPr>
              <w:t>55-65%</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572"/>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18"/>
                <w:szCs w:val="18"/>
                <w:color w:val="auto"/>
              </w:rPr>
            </w:pPr>
          </w:p>
        </w:tc>
        <w:tc>
          <w:tcPr>
            <w:tcW w:w="150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35-45%</w:t>
            </w:r>
          </w:p>
        </w:tc>
        <w:tc>
          <w:tcPr>
            <w:tcW w:w="1140" w:type="dxa"/>
            <w:vAlign w:val="bottom"/>
          </w:tcPr>
          <w:p>
            <w:pPr>
              <w:spacing w:after="0"/>
              <w:rPr>
                <w:sz w:val="18"/>
                <w:szCs w:val="18"/>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w w:val="95"/>
              </w:rPr>
              <w:t>up to 5%</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2004:</w:t>
            </w: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572"/>
              <w:spacing w:after="0"/>
              <w:rPr>
                <w:sz w:val="20"/>
                <w:szCs w:val="20"/>
                <w:color w:val="auto"/>
              </w:rPr>
            </w:pPr>
            <w:r>
              <w:rPr>
                <w:rFonts w:ascii="Times New Roman" w:cs="Times New Roman" w:eastAsia="Times New Roman" w:hAnsi="Times New Roman"/>
                <w:sz w:val="18"/>
                <w:szCs w:val="18"/>
                <w:color w:val="auto"/>
              </w:rPr>
              <w:t>84%</w:t>
            </w: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18"/>
                <w:szCs w:val="18"/>
                <w:color w:val="auto"/>
              </w:rPr>
            </w:pPr>
          </w:p>
        </w:tc>
        <w:tc>
          <w:tcPr>
            <w:tcW w:w="150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tcPr>
          <w:p>
            <w:pPr>
              <w:spacing w:after="0"/>
              <w:rPr>
                <w:sz w:val="18"/>
                <w:szCs w:val="18"/>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572"/>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2003:</w:t>
            </w: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572"/>
              <w:spacing w:after="0"/>
              <w:rPr>
                <w:sz w:val="20"/>
                <w:szCs w:val="20"/>
                <w:color w:val="auto"/>
              </w:rPr>
            </w:pPr>
            <w:r>
              <w:rPr>
                <w:rFonts w:ascii="Times New Roman" w:cs="Times New Roman" w:eastAsia="Times New Roman" w:hAnsi="Times New Roman"/>
                <w:sz w:val="18"/>
                <w:szCs w:val="18"/>
                <w:color w:val="auto"/>
              </w:rPr>
              <w:t>89%</w:t>
            </w: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18"/>
                <w:szCs w:val="18"/>
                <w:color w:val="auto"/>
              </w:rPr>
            </w:pPr>
          </w:p>
        </w:tc>
        <w:tc>
          <w:tcPr>
            <w:tcW w:w="150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tcPr>
          <w:p>
            <w:pPr>
              <w:spacing w:after="0"/>
              <w:rPr>
                <w:sz w:val="18"/>
                <w:szCs w:val="18"/>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73"/>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572"/>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contributions in fiscal 2005:</w:t>
            </w: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Company</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140" w:type="dxa"/>
            <w:vAlign w:val="bottom"/>
            <w:shd w:val="clear" w:color="auto" w:fill="EEEEEE"/>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EEEEEE"/>
          </w:tcPr>
          <w:p>
            <w:pPr>
              <w:jc w:val="right"/>
              <w:ind w:right="712"/>
              <w:spacing w:after="0"/>
              <w:rPr>
                <w:sz w:val="20"/>
                <w:szCs w:val="20"/>
                <w:color w:val="auto"/>
              </w:rPr>
            </w:pPr>
            <w:r>
              <w:rPr>
                <w:rFonts w:ascii="Times New Roman" w:cs="Times New Roman" w:eastAsia="Times New Roman" w:hAnsi="Times New Roman"/>
                <w:sz w:val="18"/>
                <w:szCs w:val="18"/>
                <w:color w:val="auto"/>
              </w:rPr>
              <w:t>6.9</w:t>
            </w:r>
          </w:p>
        </w:tc>
        <w:tc>
          <w:tcPr>
            <w:tcW w:w="1620" w:type="dxa"/>
            <w:vAlign w:val="bottom"/>
            <w:shd w:val="clear" w:color="auto" w:fill="EEEEEE"/>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w:t>
            </w:r>
          </w:p>
        </w:tc>
        <w:tc>
          <w:tcPr>
            <w:tcW w:w="1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0.7</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future benefit payments:</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4.4</w:t>
            </w:r>
          </w:p>
        </w:tc>
        <w:tc>
          <w:tcPr>
            <w:tcW w:w="16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2006</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933"/>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712"/>
              <w:spacing w:after="0"/>
              <w:rPr>
                <w:sz w:val="20"/>
                <w:szCs w:val="20"/>
                <w:color w:val="auto"/>
              </w:rPr>
            </w:pPr>
            <w:r>
              <w:rPr>
                <w:rFonts w:ascii="Times New Roman" w:cs="Times New Roman" w:eastAsia="Times New Roman" w:hAnsi="Times New Roman"/>
                <w:sz w:val="18"/>
                <w:szCs w:val="18"/>
                <w:color w:val="auto"/>
              </w:rPr>
              <w:t>4.6</w:t>
            </w:r>
          </w:p>
        </w:tc>
        <w:tc>
          <w:tcPr>
            <w:tcW w:w="1620" w:type="dxa"/>
            <w:vAlign w:val="bottom"/>
            <w:shd w:val="clear" w:color="auto" w:fill="EEEEEE"/>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2007</w:t>
            </w:r>
          </w:p>
        </w:tc>
        <w:tc>
          <w:tcPr>
            <w:tcW w:w="1740" w:type="dxa"/>
            <w:vAlign w:val="bottom"/>
          </w:tcPr>
          <w:p>
            <w:pPr>
              <w:spacing w:after="0"/>
              <w:rPr>
                <w:sz w:val="18"/>
                <w:szCs w:val="18"/>
                <w:color w:val="auto"/>
              </w:rPr>
            </w:pPr>
          </w:p>
        </w:tc>
        <w:tc>
          <w:tcPr>
            <w:tcW w:w="150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5.5</w:t>
            </w:r>
          </w:p>
        </w:tc>
        <w:tc>
          <w:tcPr>
            <w:tcW w:w="1140" w:type="dxa"/>
            <w:vAlign w:val="bottom"/>
          </w:tcPr>
          <w:p>
            <w:pPr>
              <w:spacing w:after="0"/>
              <w:rPr>
                <w:sz w:val="18"/>
                <w:szCs w:val="18"/>
                <w:color w:val="auto"/>
              </w:rPr>
            </w:pPr>
          </w:p>
        </w:tc>
        <w:tc>
          <w:tcPr>
            <w:tcW w:w="11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4.7</w:t>
            </w:r>
          </w:p>
        </w:tc>
        <w:tc>
          <w:tcPr>
            <w:tcW w:w="16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2008</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933"/>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712"/>
              <w:spacing w:after="0"/>
              <w:rPr>
                <w:sz w:val="20"/>
                <w:szCs w:val="20"/>
                <w:color w:val="auto"/>
              </w:rPr>
            </w:pPr>
            <w:r>
              <w:rPr>
                <w:rFonts w:ascii="Times New Roman" w:cs="Times New Roman" w:eastAsia="Times New Roman" w:hAnsi="Times New Roman"/>
                <w:sz w:val="18"/>
                <w:szCs w:val="18"/>
                <w:color w:val="auto"/>
              </w:rPr>
              <w:t>4.8</w:t>
            </w:r>
          </w:p>
        </w:tc>
        <w:tc>
          <w:tcPr>
            <w:tcW w:w="1620" w:type="dxa"/>
            <w:vAlign w:val="bottom"/>
            <w:shd w:val="clear" w:color="auto" w:fill="EEEEEE"/>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2009</w:t>
            </w:r>
          </w:p>
        </w:tc>
        <w:tc>
          <w:tcPr>
            <w:tcW w:w="1740" w:type="dxa"/>
            <w:vAlign w:val="bottom"/>
          </w:tcPr>
          <w:p>
            <w:pPr>
              <w:spacing w:after="0"/>
              <w:rPr>
                <w:sz w:val="18"/>
                <w:szCs w:val="18"/>
                <w:color w:val="auto"/>
              </w:rPr>
            </w:pPr>
          </w:p>
        </w:tc>
        <w:tc>
          <w:tcPr>
            <w:tcW w:w="150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tcPr>
          <w:p>
            <w:pPr>
              <w:spacing w:after="0"/>
              <w:rPr>
                <w:sz w:val="18"/>
                <w:szCs w:val="18"/>
                <w:color w:val="auto"/>
              </w:rPr>
            </w:pPr>
          </w:p>
        </w:tc>
        <w:tc>
          <w:tcPr>
            <w:tcW w:w="11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Total 2010 to 2014</w:t>
            </w:r>
          </w:p>
        </w:tc>
        <w:tc>
          <w:tcPr>
            <w:tcW w:w="17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933"/>
              <w:spacing w:after="0"/>
              <w:rPr>
                <w:sz w:val="20"/>
                <w:szCs w:val="20"/>
                <w:color w:val="auto"/>
              </w:rPr>
            </w:pPr>
            <w:r>
              <w:rPr>
                <w:rFonts w:ascii="Times New Roman" w:cs="Times New Roman" w:eastAsia="Times New Roman" w:hAnsi="Times New Roman"/>
                <w:sz w:val="18"/>
                <w:szCs w:val="18"/>
                <w:color w:val="auto"/>
              </w:rPr>
              <w:t>30.7</w:t>
            </w:r>
          </w:p>
        </w:tc>
        <w:tc>
          <w:tcPr>
            <w:tcW w:w="11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712"/>
              <w:spacing w:after="0"/>
              <w:rPr>
                <w:sz w:val="20"/>
                <w:szCs w:val="20"/>
                <w:color w:val="auto"/>
              </w:rPr>
            </w:pPr>
            <w:r>
              <w:rPr>
                <w:rFonts w:ascii="Times New Roman" w:cs="Times New Roman" w:eastAsia="Times New Roman" w:hAnsi="Times New Roman"/>
                <w:sz w:val="18"/>
                <w:szCs w:val="18"/>
                <w:color w:val="auto"/>
                <w:w w:val="88"/>
              </w:rPr>
              <w:t>27.3</w:t>
            </w:r>
          </w:p>
        </w:tc>
        <w:tc>
          <w:tcPr>
            <w:tcW w:w="1620" w:type="dxa"/>
            <w:vAlign w:val="bottom"/>
            <w:shd w:val="clear" w:color="auto" w:fill="EEEEEE"/>
          </w:tcPr>
          <w:p>
            <w:pPr>
              <w:jc w:val="right"/>
              <w:ind w:right="358"/>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254"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The Scotts Company maintains target allocation percentages among various asset classes based on an individual investment policy established for each of the various pension plans which are designed to achieve long term objectives of return, while mitigating against downside risk and considering expected cash flows. Our investment policies are reviewed from time to time to ensure consistency with our long-term objectives.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Long-Term Rate of Return on Assets Assumption:</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Company’s expected long-term rate of return on assets assumptions are derived from studies conducted by our actuaries. The studies include a review of anticipated future long-term performance of individual asset classes and consideration of the appropriate asset allocation strategy given the anticipated requirements of the plan to determine the average rate of earnings expected on the funds invested to provide for benefits under the various pension plans. While the studies give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to recent fund performance and historical returns, the assumptions are primarily a long-term, prospective rate.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ASSOCIATE BENEFITS</w:t>
      </w:r>
    </w:p>
    <w:p>
      <w:pPr>
        <w:spacing w:after="0" w:line="254"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about the retiree medical plan for domestic associates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6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Accumulated Plan Benefit Obligation (APBO)</w:t>
            </w:r>
          </w:p>
        </w:tc>
        <w:tc>
          <w:tcPr>
            <w:tcW w:w="14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$ 31.8</w:t>
            </w:r>
          </w:p>
        </w:tc>
        <w:tc>
          <w:tcPr>
            <w:tcW w:w="6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$ 20.8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6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08"/>
        </w:trPr>
        <w:tc>
          <w:tcPr>
            <w:tcW w:w="6440" w:type="dxa"/>
            <w:vAlign w:val="bottom"/>
            <w:gridSpan w:val="2"/>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APBO at end of year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$ 33.8</w:t>
            </w:r>
          </w:p>
        </w:tc>
        <w:tc>
          <w:tcPr>
            <w:tcW w:w="6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$ 31.8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4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1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6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08"/>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440" w:type="dxa"/>
            <w:vAlign w:val="bottom"/>
            <w:gridSpan w:val="2"/>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statement of financial position consist of:</w:t>
            </w:r>
          </w:p>
        </w:tc>
        <w:tc>
          <w:tcPr>
            <w:tcW w:w="14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4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$(33.8)</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Unrecognized prior service costs</w:t>
            </w:r>
          </w:p>
        </w:tc>
        <w:tc>
          <w:tcPr>
            <w:tcW w:w="14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prior loss</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246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$(25.0)</w:t>
            </w:r>
          </w:p>
        </w:tc>
        <w:tc>
          <w:tcPr>
            <w:tcW w:w="1380" w:type="dxa"/>
            <w:vAlign w:val="bottom"/>
            <w:gridSpan w:val="3"/>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Net periodic post retirement benefit cost amounted to $2.5 million, $1.8 million, and $0.8 million for fiscal 2004, 2003, and 2002, respectively. 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 No. 106-2, “Accounting and Disclosure Requirements Related to the Medicare Prescription Drug, Improvement and Modernization Act of 2003” (the “FSP”). The FSP provides guidance on accounting for the effects of the Act, which resulted in a reduction in the APBO for the subsidy related to benefits attributed to past service. The reduction in the APBO represents a deferred actuarial gain in the amount of $1.5 million as of July 1, 2004 because the Company elected prospective adoption. Net periodic post retirement benefit cost for the fourth quarter of fiscal 2004 was reduced by approximately $0.1 million as a result of the amortization of the actuarial gain and reduction of service and interest costs.</w:t>
      </w:r>
    </w:p>
    <w:p>
      <w:pPr>
        <w:spacing w:after="0" w:line="219"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The discount rates used in determining the accumulated postretirement benefit obligation were 5.75% and 6.00% in fiscal 2004 and 2003, respectively. For measurement as of September 30, 2004, management has assumed pre-65 health care cost trend at an annual rate of 7.50% in fiscal 2005 (period from October 1, 2004, to September 30, 2005), decreasing 0.50% per year to 5.50% in 2009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jc w:val="both"/>
        <w:ind w:right="40"/>
        <w:spacing w:after="0" w:line="301" w:lineRule="auto"/>
        <w:rPr>
          <w:sz w:val="20"/>
          <w:szCs w:val="20"/>
          <w:color w:val="auto"/>
        </w:rPr>
      </w:pPr>
      <w:r>
        <w:rPr>
          <w:rFonts w:ascii="Times New Roman" w:cs="Times New Roman" w:eastAsia="Times New Roman" w:hAnsi="Times New Roman"/>
          <w:sz w:val="16"/>
          <w:szCs w:val="16"/>
          <w:color w:val="auto"/>
        </w:rPr>
        <w:t>reaching an ultimate trend of 5.25% in 2010. The assumed post-65 health care cost trend assumption is 8.50% in fiscal 2005, decreasing 0.50% per year to 2011 before reaching an ultimate trend rate of 5.25% in 2012. A 1% increase in health cost trend rate assumptions would increase the APBO as of September 30, 2004 and 2003 by $0.9 million and $2.5 million, respectively. A 1% decrease in health cost trend rate assumptions would decrease the APBO as of September 30, 2004 and 2003 by $1.0 million and $2.2 million, respectively. A 1% increase or decrease in the same rate would not have a material effect on service or interest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benefit payments under the plan are expected to be paid by the Company and the retirees for the fiscal years indicated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7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Retiree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Borders>
              <w:bottom w:val="single" w:sz="8" w:color="808080"/>
            </w:tcBorders>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2005</w:t>
            </w:r>
          </w:p>
        </w:tc>
        <w:tc>
          <w:tcPr>
            <w:tcW w:w="4700" w:type="dxa"/>
            <w:vAlign w:val="bottom"/>
            <w:shd w:val="clear" w:color="auto" w:fill="EEEEEE"/>
          </w:tcPr>
          <w:p>
            <w:pPr>
              <w:jc w:val="right"/>
              <w:ind w:right="695"/>
              <w:spacing w:after="0"/>
              <w:rPr>
                <w:sz w:val="20"/>
                <w:szCs w:val="20"/>
                <w:color w:val="auto"/>
              </w:rPr>
            </w:pPr>
            <w:r>
              <w:rPr>
                <w:rFonts w:ascii="Times New Roman" w:cs="Times New Roman" w:eastAsia="Times New Roman" w:hAnsi="Times New Roman"/>
                <w:sz w:val="18"/>
                <w:szCs w:val="18"/>
                <w:color w:val="auto"/>
              </w:rPr>
              <w:t>$ 2.2</w:t>
            </w:r>
          </w:p>
        </w:tc>
        <w:tc>
          <w:tcPr>
            <w:tcW w:w="13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47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2007</w:t>
            </w:r>
          </w:p>
        </w:tc>
        <w:tc>
          <w:tcPr>
            <w:tcW w:w="4700" w:type="dxa"/>
            <w:vAlign w:val="bottom"/>
            <w:shd w:val="clear" w:color="auto" w:fill="EEEEEE"/>
          </w:tcPr>
          <w:p>
            <w:pPr>
              <w:jc w:val="right"/>
              <w:ind w:right="695"/>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47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2009</w:t>
            </w:r>
          </w:p>
        </w:tc>
        <w:tc>
          <w:tcPr>
            <w:tcW w:w="4700" w:type="dxa"/>
            <w:vAlign w:val="bottom"/>
            <w:shd w:val="clear" w:color="auto" w:fill="EEEEEE"/>
          </w:tcPr>
          <w:p>
            <w:pPr>
              <w:jc w:val="right"/>
              <w:ind w:right="695"/>
              <w:spacing w:after="0"/>
              <w:rPr>
                <w:sz w:val="20"/>
                <w:szCs w:val="20"/>
                <w:color w:val="auto"/>
              </w:rPr>
            </w:pPr>
            <w:r>
              <w:rPr>
                <w:rFonts w:ascii="Times New Roman" w:cs="Times New Roman" w:eastAsia="Times New Roman" w:hAnsi="Times New Roman"/>
                <w:sz w:val="18"/>
                <w:szCs w:val="18"/>
                <w:color w:val="auto"/>
              </w:rPr>
              <w:t>2.5</w:t>
            </w:r>
          </w:p>
        </w:tc>
        <w:tc>
          <w:tcPr>
            <w:tcW w:w="1360" w:type="dxa"/>
            <w:vAlign w:val="bottom"/>
            <w:shd w:val="clear" w:color="auto" w:fill="EEEEEE"/>
          </w:tcPr>
          <w:p>
            <w:pPr>
              <w:jc w:val="right"/>
              <w:ind w:right="235"/>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2010-2014</w:t>
            </w:r>
          </w:p>
        </w:tc>
        <w:tc>
          <w:tcPr>
            <w:tcW w:w="47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13.9</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provides comprehensive major medical benefits to its associates. The Company is self-insured for certain health benefits up to</w:t>
      </w:r>
    </w:p>
    <w:p>
      <w:pPr>
        <w:spacing w:after="0" w:line="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$0.3 million per occurrence per individual. The cost of such benefits is recognized as expense in the period the claim is incurred. This cost was $17.0 million, $15.4 million, and $15.8 million in fiscal 2004, 2003 and 2002,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96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3"/>
                <w:szCs w:val="13"/>
                <w:color w:val="auto"/>
              </w:rPr>
            </w:pPr>
          </w:p>
        </w:tc>
      </w:tr>
      <w:tr>
        <w:trPr>
          <w:trHeight w:val="178"/>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2003</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Former Credit Agreement:</w:t>
            </w:r>
          </w:p>
        </w:tc>
        <w:tc>
          <w:tcPr>
            <w:tcW w:w="600" w:type="dxa"/>
            <w:vAlign w:val="bottom"/>
            <w:shd w:val="clear" w:color="auto" w:fill="EEEEEE"/>
          </w:tcPr>
          <w:p>
            <w:pPr>
              <w:spacing w:after="0"/>
              <w:rPr>
                <w:sz w:val="18"/>
                <w:szCs w:val="18"/>
                <w:color w:val="auto"/>
              </w:rPr>
            </w:pPr>
          </w:p>
        </w:tc>
        <w:tc>
          <w:tcPr>
            <w:tcW w:w="1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Revolving loans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Term loans</w:t>
            </w:r>
          </w:p>
        </w:tc>
        <w:tc>
          <w:tcPr>
            <w:tcW w:w="600" w:type="dxa"/>
            <w:vAlign w:val="bottom"/>
            <w:shd w:val="clear" w:color="auto" w:fill="EEEEEE"/>
          </w:tcPr>
          <w:p>
            <w:pPr>
              <w:spacing w:after="0"/>
              <w:rPr>
                <w:sz w:val="18"/>
                <w:szCs w:val="18"/>
                <w:color w:val="auto"/>
              </w:rPr>
            </w:pPr>
          </w:p>
        </w:tc>
        <w:tc>
          <w:tcPr>
            <w:tcW w:w="1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326.5</w:t>
            </w: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New Credit Agreement:</w:t>
            </w: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Revolving loans</w:t>
            </w:r>
          </w:p>
        </w:tc>
        <w:tc>
          <w:tcPr>
            <w:tcW w:w="600" w:type="dxa"/>
            <w:vAlign w:val="bottom"/>
            <w:shd w:val="clear" w:color="auto" w:fill="EEEEEE"/>
          </w:tcPr>
          <w:p>
            <w:pPr>
              <w:spacing w:after="0"/>
              <w:rPr>
                <w:sz w:val="18"/>
                <w:szCs w:val="18"/>
                <w:color w:val="auto"/>
              </w:rPr>
            </w:pPr>
          </w:p>
        </w:tc>
        <w:tc>
          <w:tcPr>
            <w:tcW w:w="1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loans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Senior Subordinated Notes:</w:t>
            </w:r>
          </w:p>
        </w:tc>
        <w:tc>
          <w:tcPr>
            <w:tcW w:w="600" w:type="dxa"/>
            <w:vAlign w:val="bottom"/>
            <w:shd w:val="clear" w:color="auto" w:fill="EEEEEE"/>
          </w:tcPr>
          <w:p>
            <w:pPr>
              <w:spacing w:after="0"/>
              <w:rPr>
                <w:sz w:val="18"/>
                <w:szCs w:val="18"/>
                <w:color w:val="auto"/>
              </w:rPr>
            </w:pPr>
          </w:p>
        </w:tc>
        <w:tc>
          <w:tcPr>
            <w:tcW w:w="1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 5/8% Notes</w:t>
            </w: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393.1</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6 5/8% Notes</w:t>
            </w:r>
          </w:p>
        </w:tc>
        <w:tc>
          <w:tcPr>
            <w:tcW w:w="2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Notes due to sellers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bank borrowings and term loans</w:t>
            </w:r>
          </w:p>
        </w:tc>
        <w:tc>
          <w:tcPr>
            <w:tcW w:w="2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28"/>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96"/>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30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757.6</w:t>
            </w: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28"/>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96"/>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18"/>
                <w:szCs w:val="18"/>
                <w:color w:val="auto"/>
              </w:rPr>
            </w:pPr>
          </w:p>
        </w:tc>
        <w:tc>
          <w:tcPr>
            <w:tcW w:w="2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300" w:type="dxa"/>
            <w:vAlign w:val="bottom"/>
            <w:shd w:val="clear" w:color="auto" w:fill="EEEEEE"/>
          </w:tcPr>
          <w:p>
            <w:pPr>
              <w:spacing w:after="0"/>
              <w:rPr>
                <w:sz w:val="18"/>
                <w:szCs w:val="18"/>
                <w:color w:val="auto"/>
              </w:rPr>
            </w:pPr>
          </w:p>
        </w:tc>
        <w:tc>
          <w:tcPr>
            <w:tcW w:w="2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$702.2</w:t>
            </w:r>
          </w:p>
        </w:tc>
        <w:tc>
          <w:tcPr>
            <w:tcW w:w="7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105"/>
        </w:trPr>
        <w:tc>
          <w:tcPr>
            <w:tcW w:w="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61"/>
        </w:trPr>
        <w:tc>
          <w:tcPr>
            <w:tcW w:w="5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213"/>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1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71</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3" w:name="page74"/>
    <w:bookmarkEnd w:id="73"/>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short- and long-term debt for the next five fiscal years and thereafter are as follows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2005</w:t>
            </w:r>
          </w:p>
        </w:tc>
        <w:tc>
          <w:tcPr>
            <w:tcW w:w="2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EEEEEE"/>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2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r>
      <w:tr>
        <w:trPr>
          <w:trHeight w:val="216"/>
        </w:trPr>
        <w:tc>
          <w:tcPr>
            <w:tcW w:w="3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2007</w:t>
            </w:r>
          </w:p>
        </w:tc>
        <w:tc>
          <w:tcPr>
            <w:tcW w:w="27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EEEEEE"/>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2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Pr>
          <w:p>
            <w:pPr>
              <w:spacing w:after="0"/>
              <w:rPr>
                <w:sz w:val="18"/>
                <w:szCs w:val="18"/>
                <w:color w:val="auto"/>
              </w:rPr>
            </w:pPr>
          </w:p>
        </w:tc>
      </w:tr>
      <w:tr>
        <w:trPr>
          <w:trHeight w:val="216"/>
        </w:trPr>
        <w:tc>
          <w:tcPr>
            <w:tcW w:w="3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2009</w:t>
            </w:r>
          </w:p>
        </w:tc>
        <w:tc>
          <w:tcPr>
            <w:tcW w:w="27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194.4</w:t>
            </w:r>
          </w:p>
        </w:tc>
        <w:tc>
          <w:tcPr>
            <w:tcW w:w="200" w:type="dxa"/>
            <w:vAlign w:val="bottom"/>
            <w:shd w:val="clear" w:color="auto" w:fill="EEEEEE"/>
          </w:tcPr>
          <w:p>
            <w:pPr>
              <w:spacing w:after="0"/>
              <w:rPr>
                <w:sz w:val="18"/>
                <w:szCs w:val="18"/>
                <w:color w:val="auto"/>
              </w:rPr>
            </w:pP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346.9</w:t>
            </w:r>
          </w:p>
        </w:tc>
        <w:tc>
          <w:tcPr>
            <w:tcW w:w="200" w:type="dxa"/>
            <w:vAlign w:val="bottom"/>
          </w:tcPr>
          <w:p>
            <w:pPr>
              <w:spacing w:after="0"/>
              <w:rPr>
                <w:sz w:val="19"/>
                <w:szCs w:val="19"/>
                <w:color w:val="auto"/>
              </w:rPr>
            </w:pPr>
          </w:p>
        </w:tc>
      </w:tr>
      <w:tr>
        <w:trPr>
          <w:trHeight w:val="96"/>
        </w:trPr>
        <w:tc>
          <w:tcPr>
            <w:tcW w:w="34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34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3440" w:type="dxa"/>
            <w:vAlign w:val="bottom"/>
            <w:shd w:val="clear" w:color="auto" w:fill="EEEEEE"/>
          </w:tcPr>
          <w:p>
            <w:pPr>
              <w:spacing w:after="0"/>
              <w:rPr>
                <w:sz w:val="18"/>
                <w:szCs w:val="18"/>
                <w:color w:val="auto"/>
              </w:rPr>
            </w:pPr>
          </w:p>
        </w:tc>
        <w:tc>
          <w:tcPr>
            <w:tcW w:w="2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630.6</w:t>
            </w:r>
          </w:p>
        </w:tc>
        <w:tc>
          <w:tcPr>
            <w:tcW w:w="200" w:type="dxa"/>
            <w:vAlign w:val="bottom"/>
            <w:shd w:val="clear" w:color="auto" w:fill="EEEEEE"/>
          </w:tcPr>
          <w:p>
            <w:pPr>
              <w:spacing w:after="0"/>
              <w:rPr>
                <w:sz w:val="18"/>
                <w:szCs w:val="18"/>
                <w:color w:val="auto"/>
              </w:rPr>
            </w:pPr>
          </w:p>
        </w:tc>
      </w:tr>
      <w:tr>
        <w:trPr>
          <w:trHeight w:val="105"/>
        </w:trPr>
        <w:tc>
          <w:tcPr>
            <w:tcW w:w="34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34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paid on debt (net of amount capitalized) amounted to $50.9 million, $66.7 million and $68.1 million in fiscal 2004, 2003, and 2002,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2003, the Company substantially completed a refinancing of the former Credit Agreement (“Credit Agreement”) and its $400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5/8% Senior Subordinated Notes (“8 5/8% Notes”) in a series of transactions. On October 8, 2003, the Company issued $200 million of 6 5/8%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Notes due November 15, 2013 (“6 5/8% Notes”). On October 21, 2003, $386.8 million of the outstanding 8 5/8% Notes were tendered at</w:t>
      </w:r>
    </w:p>
    <w:p>
      <w:pPr>
        <w:spacing w:after="0" w:line="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106.05% per $1,000 Note. The Company redeemed the remaining $13.2 million of 8 5/8% Notes, that were not tendered, on the first call date of January 15, 2004 at 104.313% per $1,000 Note plus accrued interest. On October 22, 2003, the Company consummated a series of transactions which included the repayment of the term loans outstanding under the former Credit Agreement, the termination of the Credit Agreement, the execution of the Second Amended and Restated Credit Agreement (“New Credit Agreement”), and the borrowing of $500 million in the form of term loans under the New Credit Agreement. The cost recognized in fiscal 2004 on the extinguishment of the former Credit Agreement and retirement of the 8 5/8% Notes was $44.3 million, of which $19.4 million related to the write-off of deferred costs, $24.0 million related to premiums paid on the redemption of the 8 5/8% Notes and $0.9 million related to transaction fees.</w:t>
      </w:r>
    </w:p>
    <w:p>
      <w:pPr>
        <w:spacing w:after="0" w:line="19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New Credit Agreement was entered into with a syndicate of commercial banks and institutional lenders. The New Credit Agreement initially consisted of a $700 million multi-currency revolving credit commitment expiring October 17, 2008, and a $500 million term loan facility expiring September 30, 2010. Borrowings under the New Credit Agreement are guaranteed by the Company and substantially all of its domestic subsidiaries. Collateral consists of pledges by the Company and substantially all of its domestic subsidiaries of substantially all of their personal, real and intellectual property assets. The Company and its subsidiaries also pledged a majority of the stock in foreign subsidiaries that borrow under the New Credit Agreement.</w:t>
      </w:r>
    </w:p>
    <w:p>
      <w:pPr>
        <w:spacing w:after="0" w:line="220" w:lineRule="exact"/>
        <w:rPr>
          <w:sz w:val="20"/>
          <w:szCs w:val="20"/>
          <w:color w:val="auto"/>
        </w:rPr>
      </w:pPr>
    </w:p>
    <w:p>
      <w:pPr>
        <w:ind w:firstLine="324"/>
        <w:spacing w:after="0" w:line="287" w:lineRule="auto"/>
        <w:rPr>
          <w:sz w:val="20"/>
          <w:szCs w:val="20"/>
          <w:color w:val="auto"/>
        </w:rPr>
      </w:pPr>
      <w:r>
        <w:rPr>
          <w:rFonts w:ascii="Times New Roman" w:cs="Times New Roman" w:eastAsia="Times New Roman" w:hAnsi="Times New Roman"/>
          <w:sz w:val="16"/>
          <w:szCs w:val="16"/>
          <w:color w:val="auto"/>
        </w:rPr>
        <w:t>The revolving credit facilities under the New Credit Agreement provide for a $700 million commitment, which can be increased to $750 million based on the borrowing requirements of the Company, expiring on October 22, 2008. Borrowings may be made in U.S. dollars and optional currencies including, but not limited to, Euros, British Pounds Sterling, Canadian Dollars and Australian Dollars. The revolving credit facilities provide that up to $65 million of the</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$700 million commitment may be used for letters of credit. Interest rate spreads under the New Credit Agreement are determined by a pricing grid corresponding to a quarterly calculation of the Company’s leverage ratio comprised of averaged components for the most recent four quarters.</w:t>
      </w:r>
    </w:p>
    <w:p>
      <w:pPr>
        <w:spacing w:after="0" w:line="213" w:lineRule="exact"/>
        <w:rPr>
          <w:sz w:val="20"/>
          <w:szCs w:val="20"/>
          <w:color w:val="auto"/>
        </w:rPr>
      </w:pPr>
    </w:p>
    <w:p>
      <w:pPr>
        <w:ind w:right="40" w:firstLine="324"/>
        <w:spacing w:after="0" w:line="301" w:lineRule="auto"/>
        <w:rPr>
          <w:sz w:val="20"/>
          <w:szCs w:val="20"/>
          <w:color w:val="auto"/>
        </w:rPr>
      </w:pPr>
      <w:r>
        <w:rPr>
          <w:rFonts w:ascii="Times New Roman" w:cs="Times New Roman" w:eastAsia="Times New Roman" w:hAnsi="Times New Roman"/>
          <w:sz w:val="16"/>
          <w:szCs w:val="16"/>
          <w:color w:val="auto"/>
        </w:rPr>
        <w:t>The term loan facility under the New Credit Agreement initially consisted of a $500 million loan with minimum quarterly principal payments of $0.5 million beginning on March 31, 2004. On June 24, 2004, the Company prepaid without penalty $100 million of the $499.5 million outstanding at that time. On August 13, 2004, the Company refinanced the term loan facility under the New Credit Agreement with new term loans (the “New Term Loans”) consisting of a Tranche A term loan of $250 million expiring on September 30, 2009 and a Tranche B term Loan of $150 million expiring on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109220</wp:posOffset>
            </wp:positionV>
            <wp:extent cx="3860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conjunction with the early repayment and refinancings of the term loan facility under the New Credit Agreement, the Company wrote-off $1.2 million of deferred costs. The Company may, subject to certain minimum senior secured leverage ratios, borrow up to three additional incremental term loans aggregating no more than $150 million and having final maturities no earlier than September 30, 2010.</w:t>
      </w:r>
    </w:p>
    <w:p>
      <w:pPr>
        <w:spacing w:after="0" w:line="21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Repayment of the Tranche A Term Loan commenced on September 30, 2004 with minimum quarterly installments of $625,000 for the first twelve payments, $9.375 million for the next four payments, $13.75 million for the following four payments, and a balloon maturity of $150 million due on September 30, 2009. Repayment of the Tranche B Term Loan commenced on September 30, 2004 with minimum quarterly installments of $375,000 for the initial twenty-four quarters with a balloon maturity of $141 million on September 30, 2010.</w:t>
      </w:r>
    </w:p>
    <w:p>
      <w:pPr>
        <w:spacing w:after="0" w:line="21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New Term Loans carry a variable interest rate based on prime or LIBOR at the Company’s election (currently LIBOR) plus a spread. The Company has interest rate swap agreements with major financial institutions to effectively convert a portion of the variable rate New Term Loans to a fixed rate. The notional amount and the terms of the swap agreements vary. At September 30, 2004, swap agreements with a total notional amount of $175 million were in effect. Under the terms of these swap agreements, the Company pays fixed rates ranging from 2.76% to 3.77%, plus a spread based on the pricing grid contained in the New Credit Agreement, and receives payments based on three-month LIBOR in return.</w:t>
      </w:r>
    </w:p>
    <w:p>
      <w:pPr>
        <w:spacing w:after="0" w:line="2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6 5/8% Notes were sold at par, pay interest semi-annually on May 15 and November 15, have a ten-year maturity, and are guaranteed by certain current and future domestic restricted subsidiaries of the Company (see Note 23). Such guarantees are unsecured senior subordinated obligations of the Company. The Notes may be called after November 2008, at a premium to par value of 3.313%, with the call premium declining each year thereafter. The covenants contained in the 6 5/8% Notes indenture are less restrictive than those contained in the 8 5/8% Notes indenture. Financing costs approximating $4.5 million incurred with the issuance of the 6 5/8% Notes have been deferred and are being amortized over the term of the Notes.</w:t>
      </w:r>
    </w:p>
    <w:p>
      <w:pPr>
        <w:spacing w:after="0" w:line="22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Both the New Credit Agreement, as amended, and the 6 5/8% Notes indenture (collectively the “Debt Agreements”) contain covenants limiting or restricting Scotts in certain types of transactions. Limitations or restrictions affect transactions involving liens, contingent obligations, capital expenditures, acquisitions, investments, loans and advances, indebtedness, subsidiary distributions, asset sales, sale and leasebacks, and dividends. These covenants are less restrictive than those contained in the former Credit Agreement. The Debt Agreements also contain cross default language typically included in similar instruments that would effectively create an event of default if certain events were to occur under either the New Credit Agreement, the 6 5/8% Notes indenture or certain other agreements. Cross defaults may occur should the Company default in the observance or performance of other indebtedness or covenants, causing the obligations therein to become immediately due and payable prior to the stated maturity thereof upon passing of a cure period. As of September 30, 2004, the Company was in compliance with all covenants under the terms of its Debt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920" w:type="dxa"/>
            <w:vAlign w:val="bottom"/>
            <w:gridSpan w:val="2"/>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1140" w:type="dxa"/>
            <w:vAlign w:val="bottom"/>
          </w:tcPr>
          <w:p>
            <w:pPr>
              <w:spacing w:after="0"/>
              <w:rPr>
                <w:sz w:val="15"/>
                <w:szCs w:val="15"/>
                <w:color w:val="auto"/>
              </w:rPr>
            </w:pPr>
          </w:p>
        </w:tc>
      </w:tr>
      <w:tr>
        <w:trPr>
          <w:trHeight w:val="95"/>
        </w:trPr>
        <w:tc>
          <w:tcPr>
            <w:tcW w:w="116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w:t>
            </w:r>
          </w:p>
        </w:tc>
        <w:tc>
          <w:tcPr>
            <w:tcW w:w="600" w:type="dxa"/>
            <w:vAlign w:val="bottom"/>
            <w:shd w:val="clear" w:color="auto" w:fill="EEEEEE"/>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no par value:</w:t>
            </w:r>
          </w:p>
        </w:tc>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Authorized</w:t>
            </w:r>
          </w:p>
        </w:tc>
        <w:tc>
          <w:tcPr>
            <w:tcW w:w="600" w:type="dxa"/>
            <w:vAlign w:val="bottom"/>
            <w:shd w:val="clear" w:color="auto" w:fill="EEEEEE"/>
          </w:tcPr>
          <w:p>
            <w:pPr>
              <w:spacing w:after="0"/>
              <w:rPr>
                <w:sz w:val="18"/>
                <w:szCs w:val="18"/>
                <w:color w:val="auto"/>
              </w:rPr>
            </w:pPr>
          </w:p>
        </w:tc>
        <w:tc>
          <w:tcPr>
            <w:tcW w:w="3320" w:type="dxa"/>
            <w:vAlign w:val="bottom"/>
            <w:shd w:val="clear" w:color="auto" w:fill="EEEEEE"/>
          </w:tcPr>
          <w:p>
            <w:pPr>
              <w:jc w:val="right"/>
              <w:ind w:right="416"/>
              <w:spacing w:after="0"/>
              <w:rPr>
                <w:sz w:val="20"/>
                <w:szCs w:val="20"/>
                <w:color w:val="auto"/>
              </w:rPr>
            </w:pPr>
            <w:r>
              <w:rPr>
                <w:rFonts w:ascii="Times New Roman" w:cs="Times New Roman" w:eastAsia="Times New Roman" w:hAnsi="Times New Roman"/>
                <w:sz w:val="18"/>
                <w:szCs w:val="18"/>
                <w:color w:val="auto"/>
              </w:rPr>
              <w:t>0.2 shares</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 shares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w:t>
            </w:r>
          </w:p>
        </w:tc>
        <w:tc>
          <w:tcPr>
            <w:tcW w:w="600" w:type="dxa"/>
            <w:vAlign w:val="bottom"/>
          </w:tcPr>
          <w:p>
            <w:pPr>
              <w:spacing w:after="0"/>
              <w:rPr>
                <w:sz w:val="18"/>
                <w:szCs w:val="18"/>
                <w:color w:val="auto"/>
              </w:rPr>
            </w:pPr>
          </w:p>
        </w:tc>
        <w:tc>
          <w:tcPr>
            <w:tcW w:w="33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0.0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shares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600" w:type="dxa"/>
            <w:vAlign w:val="bottom"/>
            <w:shd w:val="clear" w:color="auto" w:fill="EEEEEE"/>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w:t>
            </w:r>
          </w:p>
        </w:tc>
        <w:tc>
          <w:tcPr>
            <w:tcW w:w="600" w:type="dxa"/>
            <w:vAlign w:val="bottom"/>
          </w:tcPr>
          <w:p>
            <w:pPr>
              <w:spacing w:after="0"/>
              <w:rPr>
                <w:sz w:val="18"/>
                <w:szCs w:val="18"/>
                <w:color w:val="auto"/>
              </w:rPr>
            </w:pPr>
          </w:p>
        </w:tc>
        <w:tc>
          <w:tcPr>
            <w:tcW w:w="332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100.0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shares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Issued</w:t>
            </w:r>
          </w:p>
        </w:tc>
        <w:tc>
          <w:tcPr>
            <w:tcW w:w="600" w:type="dxa"/>
            <w:vAlign w:val="bottom"/>
            <w:shd w:val="clear" w:color="auto" w:fill="EEEEEE"/>
          </w:tcPr>
          <w:p>
            <w:pPr>
              <w:spacing w:after="0"/>
              <w:rPr>
                <w:sz w:val="18"/>
                <w:szCs w:val="18"/>
                <w:color w:val="auto"/>
              </w:rPr>
            </w:pPr>
          </w:p>
        </w:tc>
        <w:tc>
          <w:tcPr>
            <w:tcW w:w="3320" w:type="dxa"/>
            <w:vAlign w:val="bottom"/>
            <w:shd w:val="clear" w:color="auto" w:fill="EEEEEE"/>
          </w:tcPr>
          <w:p>
            <w:pPr>
              <w:jc w:val="right"/>
              <w:ind w:right="416"/>
              <w:spacing w:after="0"/>
              <w:rPr>
                <w:sz w:val="20"/>
                <w:szCs w:val="20"/>
                <w:color w:val="auto"/>
              </w:rPr>
            </w:pPr>
            <w:r>
              <w:rPr>
                <w:rFonts w:ascii="Times New Roman" w:cs="Times New Roman" w:eastAsia="Times New Roman" w:hAnsi="Times New Roman"/>
                <w:sz w:val="18"/>
                <w:szCs w:val="18"/>
                <w:color w:val="auto"/>
              </w:rPr>
              <w:t>32.8 shares</w:t>
            </w:r>
          </w:p>
        </w:tc>
        <w:tc>
          <w:tcPr>
            <w:tcW w:w="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 shares</w:t>
            </w: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16"/>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73</w:t>
            </w:r>
          </w:p>
        </w:tc>
        <w:tc>
          <w:tcPr>
            <w:tcW w:w="3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color w:val="auto"/>
        </w:rPr>
        <w:t>In fiscal 1995, the Company merged with Stern’s Miracle-Gro Products, Inc. (Miracle-Gro). At September 30, 2004, the former shareholders of Miracle-Gro, including Hagedorn Partnership L.P., owned approximately 33% of The Scotts Company’s outstanding common shares and, thus, have the ability to significantly influence the election of directors and approval of other actions requiring the approval of The Scotts Company’s shareholders.</w:t>
      </w:r>
    </w:p>
    <w:p>
      <w:pPr>
        <w:spacing w:after="0" w:line="213" w:lineRule="exact"/>
        <w:rPr>
          <w:sz w:val="20"/>
          <w:szCs w:val="20"/>
          <w:color w:val="auto"/>
        </w:rPr>
      </w:pPr>
    </w:p>
    <w:p>
      <w:pPr>
        <w:ind w:right="60" w:firstLine="324"/>
        <w:spacing w:after="0" w:line="296" w:lineRule="auto"/>
        <w:rPr>
          <w:sz w:val="20"/>
          <w:szCs w:val="20"/>
          <w:color w:val="auto"/>
        </w:rPr>
      </w:pPr>
      <w:r>
        <w:rPr>
          <w:rFonts w:ascii="Times New Roman" w:cs="Times New Roman" w:eastAsia="Times New Roman" w:hAnsi="Times New Roman"/>
          <w:sz w:val="16"/>
          <w:szCs w:val="16"/>
          <w:color w:val="auto"/>
        </w:rPr>
        <w:t>Under the terms of the Miracle-Gro merger agreement,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22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Scotts Company 1996 Stock Option Plan (the “1996 Plan”), stock awards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 The Company also has a phantom option plan for certain management employees which is payable in cash based on the increase in the Company’s share price over a three-year vesting period.</w:t>
      </w:r>
    </w:p>
    <w:p>
      <w:pPr>
        <w:spacing w:after="0" w:line="22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The Scotts Company 2003 Stock Option and Incentive Equity Plan (the “2003 Plan”), stock awards (including stock appreciation rights) may be granted to officers and other key employees of the Company and non-employee directors of The Scotts Company. The maximum number of common shares that may be issued under the 2003 Plan is 1.8 million. Vesting periods under the 2003 Plan vary. Generally a three-year cliff vesting schedule is used unless decided otherwise by the Compensation and Organization Committee of the Board of Directors.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stock award activity consists of the following (options/ SARs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4"/>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5"/>
              </w:rPr>
              <w:t>Fiscal Year ended September 30,</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40" w:type="dxa"/>
            <w:vAlign w:val="bottom"/>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jc w:val="right"/>
              <w:ind w:right="1141"/>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w w:val="86"/>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gridSpan w:val="2"/>
          </w:tcPr>
          <w:p>
            <w:pPr>
              <w:jc w:val="center"/>
              <w:ind w:left="38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Pr>
          <w:p>
            <w:pPr>
              <w:jc w:val="center"/>
              <w:ind w:left="42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Options/SARs</w:t>
            </w:r>
          </w:p>
        </w:tc>
        <w:tc>
          <w:tcPr>
            <w:tcW w:w="154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80" w:type="dxa"/>
            <w:vAlign w:val="bottom"/>
          </w:tcPr>
          <w:p>
            <w:pPr>
              <w:spacing w:after="0"/>
              <w:rPr>
                <w:sz w:val="15"/>
                <w:szCs w:val="15"/>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Options/SARs</w:t>
            </w:r>
          </w:p>
        </w:tc>
        <w:tc>
          <w:tcPr>
            <w:tcW w:w="154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00" w:type="dxa"/>
            <w:vAlign w:val="bottom"/>
          </w:tcPr>
          <w:p>
            <w:pPr>
              <w:spacing w:after="0"/>
              <w:rPr>
                <w:sz w:val="15"/>
                <w:szCs w:val="15"/>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Options/SARs</w:t>
            </w:r>
          </w:p>
        </w:tc>
        <w:tc>
          <w:tcPr>
            <w:tcW w:w="156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89"/>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$35.00</w:t>
            </w: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EEEEEE"/>
          </w:tcPr>
          <w:p>
            <w:pPr>
              <w:spacing w:after="0"/>
              <w:rPr>
                <w:sz w:val="18"/>
                <w:szCs w:val="18"/>
                <w:color w:val="auto"/>
              </w:rPr>
            </w:pPr>
          </w:p>
        </w:tc>
        <w:tc>
          <w:tcPr>
            <w:tcW w:w="154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w w:val="96"/>
              </w:rPr>
              <w:t>$31.25</w:t>
            </w:r>
          </w:p>
        </w:tc>
        <w:tc>
          <w:tcPr>
            <w:tcW w:w="146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rPr>
              <w:t>$58.81</w:t>
            </w:r>
          </w:p>
        </w:tc>
        <w:tc>
          <w:tcPr>
            <w:tcW w:w="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18"/>
                <w:szCs w:val="18"/>
                <w:color w:val="auto"/>
              </w:rPr>
            </w:pPr>
          </w:p>
        </w:tc>
        <w:tc>
          <w:tcPr>
            <w:tcW w:w="154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w w:val="96"/>
              </w:rPr>
              <w:t>$49.07</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0.6</w:t>
            </w:r>
          </w:p>
        </w:tc>
        <w:tc>
          <w:tcPr>
            <w:tcW w:w="156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Awards exercised</w:t>
            </w:r>
          </w:p>
        </w:tc>
        <w:tc>
          <w:tcPr>
            <w:tcW w:w="1160" w:type="dxa"/>
            <w:vAlign w:val="bottom"/>
            <w:gridSpan w:val="3"/>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52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shd w:val="clear" w:color="auto" w:fill="EEEEEE"/>
          </w:tcPr>
          <w:p>
            <w:pPr>
              <w:spacing w:after="0"/>
              <w:rPr>
                <w:sz w:val="18"/>
                <w:szCs w:val="18"/>
                <w:color w:val="auto"/>
              </w:rPr>
            </w:pPr>
          </w:p>
        </w:tc>
        <w:tc>
          <w:tcPr>
            <w:tcW w:w="1420" w:type="dxa"/>
            <w:vAlign w:val="bottom"/>
            <w:gridSpan w:val="5"/>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54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w w:val="96"/>
              </w:rPr>
              <w:t>$27.14</w:t>
            </w:r>
          </w:p>
        </w:tc>
        <w:tc>
          <w:tcPr>
            <w:tcW w:w="146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56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w w:val="92"/>
              </w:rPr>
              <w:t>$ 48.55</w:t>
            </w:r>
          </w:p>
        </w:tc>
        <w:tc>
          <w:tcPr>
            <w:tcW w:w="20" w:type="dxa"/>
            <w:vAlign w:val="bottom"/>
          </w:tcPr>
          <w:p>
            <w:pPr>
              <w:spacing w:after="0"/>
              <w:rPr>
                <w:sz w:val="19"/>
                <w:szCs w:val="19"/>
                <w:color w:val="auto"/>
              </w:rPr>
            </w:pPr>
          </w:p>
        </w:tc>
        <w:tc>
          <w:tcPr>
            <w:tcW w:w="1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w w:val="88"/>
              </w:rPr>
              <w:t>$ 36.43</w:t>
            </w:r>
          </w:p>
        </w:tc>
        <w:tc>
          <w:tcPr>
            <w:tcW w:w="14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w w:val="92"/>
              </w:rPr>
              <w:t>$ 28.78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$39.74</w:t>
            </w: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EEEEEE"/>
          </w:tcPr>
          <w:p>
            <w:pPr>
              <w:spacing w:after="0"/>
              <w:rPr>
                <w:sz w:val="18"/>
                <w:szCs w:val="18"/>
                <w:color w:val="auto"/>
              </w:rPr>
            </w:pPr>
          </w:p>
        </w:tc>
        <w:tc>
          <w:tcPr>
            <w:tcW w:w="154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w w:val="96"/>
              </w:rPr>
              <w:t>$35.00</w:t>
            </w:r>
          </w:p>
        </w:tc>
        <w:tc>
          <w:tcPr>
            <w:tcW w:w="146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shd w:val="clear" w:color="auto" w:fill="EEEEEE"/>
          </w:tcPr>
          <w:p>
            <w:pPr>
              <w:jc w:val="center"/>
              <w:ind w:left="421"/>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108"/>
        </w:trPr>
        <w:tc>
          <w:tcPr>
            <w:tcW w:w="27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rPr>
              <w:t>$33.94</w:t>
            </w:r>
          </w:p>
        </w:tc>
        <w:tc>
          <w:tcPr>
            <w:tcW w:w="2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4"/>
                <w:szCs w:val="24"/>
                <w:color w:val="auto"/>
              </w:rPr>
            </w:pPr>
          </w:p>
        </w:tc>
        <w:tc>
          <w:tcPr>
            <w:tcW w:w="154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w w:val="96"/>
              </w:rPr>
              <w:t>$31.31</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Pr>
          <w:p>
            <w:pPr>
              <w:jc w:val="center"/>
              <w:ind w:left="421"/>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certain information pertaining to stock awards outstanding and exercisable at September 30, 2004 (shares in millions):</w:t>
      </w:r>
    </w:p>
    <w:p>
      <w:pPr>
        <w:spacing w:after="0" w:line="200" w:lineRule="exact"/>
        <w:rPr>
          <w:sz w:val="20"/>
          <w:szCs w:val="20"/>
          <w:color w:val="auto"/>
        </w:rPr>
      </w:pPr>
    </w:p>
    <w:p>
      <w:pPr>
        <w:spacing w:after="0" w:line="23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Awards Exercisable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84"/>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7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Awards Outstanding</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WTD. Avg.</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980" w:type="dxa"/>
            <w:vAlign w:val="bottom"/>
            <w:gridSpan w:val="3"/>
          </w:tcPr>
          <w:p>
            <w:pPr>
              <w:jc w:val="right"/>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No. of</w:t>
            </w:r>
          </w:p>
        </w:tc>
        <w:tc>
          <w:tcPr>
            <w:tcW w:w="1720" w:type="dxa"/>
            <w:vAlign w:val="bottom"/>
          </w:tcPr>
          <w:p>
            <w:pPr>
              <w:jc w:val="center"/>
              <w:ind w:right="238"/>
              <w:spacing w:after="0" w:line="159" w:lineRule="exact"/>
              <w:rPr>
                <w:sz w:val="20"/>
                <w:szCs w:val="20"/>
                <w:color w:val="auto"/>
              </w:rPr>
            </w:pPr>
            <w:r>
              <w:rPr>
                <w:rFonts w:ascii="Times New Roman" w:cs="Times New Roman" w:eastAsia="Times New Roman" w:hAnsi="Times New Roman"/>
                <w:sz w:val="14"/>
                <w:szCs w:val="14"/>
                <w:b w:val="1"/>
                <w:bCs w:val="1"/>
                <w:color w:val="auto"/>
                <w:w w:val="93"/>
              </w:rPr>
              <w:t>WTD. Avg.</w:t>
            </w:r>
          </w:p>
        </w:tc>
        <w:tc>
          <w:tcPr>
            <w:tcW w:w="1460" w:type="dxa"/>
            <w:vAlign w:val="bottom"/>
            <w:gridSpan w:val="4"/>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w w:val="96"/>
              </w:rPr>
              <w:t>WTD. Avg.</w:t>
            </w:r>
          </w:p>
        </w:tc>
        <w:tc>
          <w:tcPr>
            <w:tcW w:w="1240" w:type="dxa"/>
            <w:vAlign w:val="bottom"/>
            <w:gridSpan w:val="3"/>
          </w:tcPr>
          <w:p>
            <w:pPr>
              <w:jc w:val="right"/>
              <w:ind w:right="560"/>
              <w:spacing w:after="0" w:line="159" w:lineRule="exact"/>
              <w:rPr>
                <w:sz w:val="20"/>
                <w:szCs w:val="20"/>
                <w:color w:val="auto"/>
              </w:rPr>
            </w:pPr>
            <w:r>
              <w:rPr>
                <w:rFonts w:ascii="Times New Roman" w:cs="Times New Roman" w:eastAsia="Times New Roman" w:hAnsi="Times New Roman"/>
                <w:sz w:val="14"/>
                <w:szCs w:val="14"/>
                <w:b w:val="1"/>
                <w:bCs w:val="1"/>
                <w:color w:val="auto"/>
              </w:rPr>
              <w:t>No. of</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color w:val="auto"/>
                <w:w w:val="94"/>
              </w:rPr>
              <w:t>Range of</w:t>
            </w:r>
          </w:p>
        </w:tc>
        <w:tc>
          <w:tcPr>
            <w:tcW w:w="9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2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4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Options/</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7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5"/>
                <w:szCs w:val="15"/>
                <w:color w:val="auto"/>
              </w:rPr>
            </w:pPr>
          </w:p>
        </w:tc>
        <w:tc>
          <w:tcPr>
            <w:tcW w:w="11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SARS</w:t>
            </w:r>
          </w:p>
        </w:tc>
        <w:tc>
          <w:tcPr>
            <w:tcW w:w="520" w:type="dxa"/>
            <w:vAlign w:val="bottom"/>
          </w:tcPr>
          <w:p>
            <w:pPr>
              <w:spacing w:after="0"/>
              <w:rPr>
                <w:sz w:val="15"/>
                <w:szCs w:val="15"/>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$15.00 – $20.00</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right="238"/>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$20.00 – $25.00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8"/>
                <w:szCs w:val="18"/>
                <w:color w:val="auto"/>
              </w:rPr>
            </w:pPr>
          </w:p>
        </w:tc>
        <w:tc>
          <w:tcPr>
            <w:tcW w:w="1720" w:type="dxa"/>
            <w:vAlign w:val="bottom"/>
          </w:tcPr>
          <w:p>
            <w:pPr>
              <w:jc w:val="center"/>
              <w:ind w:right="238"/>
              <w:spacing w:after="0"/>
              <w:rPr>
                <w:sz w:val="20"/>
                <w:szCs w:val="20"/>
                <w:color w:val="auto"/>
              </w:rPr>
            </w:pPr>
            <w:r>
              <w:rPr>
                <w:rFonts w:ascii="Times New Roman" w:cs="Times New Roman" w:eastAsia="Times New Roman" w:hAnsi="Times New Roman"/>
                <w:sz w:val="18"/>
                <w:szCs w:val="18"/>
                <w:color w:val="auto"/>
              </w:rPr>
              <w:t>1.41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$25.00 – $30.00</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right="238"/>
              <w:spacing w:after="0"/>
              <w:rPr>
                <w:sz w:val="20"/>
                <w:szCs w:val="20"/>
                <w:color w:val="auto"/>
              </w:rPr>
            </w:pPr>
            <w:r>
              <w:rPr>
                <w:rFonts w:ascii="Times New Roman" w:cs="Times New Roman" w:eastAsia="Times New Roman" w:hAnsi="Times New Roman"/>
                <w:sz w:val="18"/>
                <w:szCs w:val="18"/>
                <w:color w:val="auto"/>
              </w:rPr>
              <w:t>3.02</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$30.00 – $35.00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18"/>
                <w:szCs w:val="18"/>
                <w:color w:val="auto"/>
              </w:rPr>
            </w:pPr>
          </w:p>
        </w:tc>
        <w:tc>
          <w:tcPr>
            <w:tcW w:w="1720" w:type="dxa"/>
            <w:vAlign w:val="bottom"/>
          </w:tcPr>
          <w:p>
            <w:pPr>
              <w:jc w:val="center"/>
              <w:ind w:right="238"/>
              <w:spacing w:after="0"/>
              <w:rPr>
                <w:sz w:val="20"/>
                <w:szCs w:val="20"/>
                <w:color w:val="auto"/>
              </w:rPr>
            </w:pPr>
            <w:r>
              <w:rPr>
                <w:rFonts w:ascii="Times New Roman" w:cs="Times New Roman" w:eastAsia="Times New Roman" w:hAnsi="Times New Roman"/>
                <w:sz w:val="18"/>
                <w:szCs w:val="18"/>
                <w:color w:val="auto"/>
              </w:rPr>
              <w:t>4.93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$35.00 – $40.00</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right="238"/>
              <w:spacing w:after="0"/>
              <w:rPr>
                <w:sz w:val="20"/>
                <w:szCs w:val="20"/>
                <w:color w:val="auto"/>
              </w:rPr>
            </w:pPr>
            <w:r>
              <w:rPr>
                <w:rFonts w:ascii="Times New Roman" w:cs="Times New Roman" w:eastAsia="Times New Roman" w:hAnsi="Times New Roman"/>
                <w:sz w:val="18"/>
                <w:szCs w:val="18"/>
                <w:color w:val="auto"/>
              </w:rPr>
              <w:t>6.03</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$40.00 – $45.00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8"/>
                <w:szCs w:val="18"/>
                <w:color w:val="auto"/>
              </w:rPr>
            </w:pPr>
          </w:p>
        </w:tc>
        <w:tc>
          <w:tcPr>
            <w:tcW w:w="1720" w:type="dxa"/>
            <w:vAlign w:val="bottom"/>
          </w:tcPr>
          <w:p>
            <w:pPr>
              <w:jc w:val="center"/>
              <w:ind w:right="238"/>
              <w:spacing w:after="0"/>
              <w:rPr>
                <w:sz w:val="20"/>
                <w:szCs w:val="20"/>
                <w:color w:val="auto"/>
              </w:rPr>
            </w:pPr>
            <w:r>
              <w:rPr>
                <w:rFonts w:ascii="Times New Roman" w:cs="Times New Roman" w:eastAsia="Times New Roman" w:hAnsi="Times New Roman"/>
                <w:sz w:val="18"/>
                <w:szCs w:val="18"/>
                <w:color w:val="auto"/>
              </w:rPr>
              <w:t>5.05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$45.00 – $50.00</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right="238"/>
              <w:spacing w:after="0"/>
              <w:rPr>
                <w:sz w:val="20"/>
                <w:szCs w:val="20"/>
                <w:color w:val="auto"/>
              </w:rPr>
            </w:pPr>
            <w:r>
              <w:rPr>
                <w:rFonts w:ascii="Times New Roman" w:cs="Times New Roman" w:eastAsia="Times New Roman" w:hAnsi="Times New Roman"/>
                <w:sz w:val="18"/>
                <w:szCs w:val="18"/>
                <w:color w:val="auto"/>
              </w:rPr>
              <w:t>8.04</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$50.00 – $55.00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1720" w:type="dxa"/>
            <w:vAlign w:val="bottom"/>
          </w:tcPr>
          <w:p>
            <w:pPr>
              <w:jc w:val="center"/>
              <w:ind w:right="238"/>
              <w:spacing w:after="0"/>
              <w:rPr>
                <w:sz w:val="20"/>
                <w:szCs w:val="20"/>
                <w:color w:val="auto"/>
              </w:rPr>
            </w:pPr>
            <w:r>
              <w:rPr>
                <w:rFonts w:ascii="Times New Roman" w:cs="Times New Roman" w:eastAsia="Times New Roman" w:hAnsi="Times New Roman"/>
                <w:sz w:val="18"/>
                <w:szCs w:val="18"/>
                <w:color w:val="auto"/>
              </w:rPr>
              <w:t>8.34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$55.00 – $65.15</w:t>
            </w: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shd w:val="clear" w:color="auto" w:fill="EEEEEE"/>
          </w:tcPr>
          <w:p>
            <w:pPr>
              <w:spacing w:after="0"/>
              <w:rPr>
                <w:sz w:val="18"/>
                <w:szCs w:val="18"/>
                <w:color w:val="auto"/>
              </w:rPr>
            </w:pPr>
          </w:p>
        </w:tc>
        <w:tc>
          <w:tcPr>
            <w:tcW w:w="1720" w:type="dxa"/>
            <w:vAlign w:val="bottom"/>
            <w:shd w:val="clear" w:color="auto" w:fill="EEEEEE"/>
          </w:tcPr>
          <w:p>
            <w:pPr>
              <w:jc w:val="center"/>
              <w:ind w:right="238"/>
              <w:spacing w:after="0"/>
              <w:rPr>
                <w:sz w:val="20"/>
                <w:szCs w:val="20"/>
                <w:color w:val="auto"/>
              </w:rPr>
            </w:pPr>
            <w:r>
              <w:rPr>
                <w:rFonts w:ascii="Times New Roman" w:cs="Times New Roman" w:eastAsia="Times New Roman" w:hAnsi="Times New Roman"/>
                <w:sz w:val="18"/>
                <w:szCs w:val="18"/>
                <w:color w:val="auto"/>
              </w:rPr>
              <w:t>9.17</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In October 1995, the Financial Accounting Standards Board issued SFAS No. 123, “Accounting for Stock-Based Compensation,” which changes the measurement, recognition and disclosure standards for stock-based compensation. The Company, as allowable, had originally adopted SFAS No. 123 for disclosure purposes only. However, effective October 1, 2002, the Company began expensing options and stock appreciation rights granted after that date in accordance with the SFAS No. 123 recognition and measurement provisions as amended by SFAS No. 148.</w:t>
      </w:r>
    </w:p>
    <w:p>
      <w:pPr>
        <w:spacing w:after="0" w:line="21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each award granted has been estimated on the grant date using the Black-Scholes option-pricing model based on the following weighted average assumptions for those granted in fiscal 2004, 2003 and 2002: (1) expected market-price volatility of 24.3%, 30.1% and 29.7%, respectively; (2) risk-free interest rates of 3.3%, 3.5% and 3.35%, respectively; and (3) expected life of options of 6.2 years for fiscal 2004 and 7 years for fiscal 2003 and 2002. Awards are generally granted with a ten-year term. The estimated weighted-average fair value per share of options and stock appreciation rights granted during fiscal 2004, 2003 and 2002 was $17.71, $19.35 and $15.83,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COMMON SHARE</w:t>
      </w:r>
    </w:p>
    <w:p>
      <w:pPr>
        <w:spacing w:after="0" w:line="254"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earnings per common share. Basic earnings per common share are computed by dividing net income by the weighted average number of common shares outstanding. Diluted earnings per common share are computed by dividing net income by the weighted average number of common shares outstanding plus all potentially dilutive securities. Options to purchase 0.1 million, 0.1 million and 0.1 million shares of common stock for the years ended September 30, 2004, 2003 and 2002, respectively, were not included in the computation of diluted earnings per common share. These options were excluded from the calculation because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exercise price of these options was greater than the average market price of the common shares in the respective periods, and therefore, they were anti-dilutive (in millions, except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1900" w:type="dxa"/>
            <w:vAlign w:val="bottom"/>
          </w:tcPr>
          <w:p>
            <w:pPr>
              <w:spacing w:after="0"/>
              <w:rPr>
                <w:sz w:val="22"/>
                <w:szCs w:val="2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85"/>
              </w:rPr>
              <w:t>2003</w:t>
            </w:r>
          </w:p>
        </w:tc>
        <w:tc>
          <w:tcPr>
            <w:tcW w:w="1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100.5</w:t>
            </w:r>
          </w:p>
        </w:tc>
        <w:tc>
          <w:tcPr>
            <w:tcW w:w="19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103.2</w:t>
            </w:r>
          </w:p>
        </w:tc>
        <w:tc>
          <w:tcPr>
            <w:tcW w:w="1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100.5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Cumulative effect of change in accounting for intangible assets, net of tax</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w w:val="96"/>
              </w:rPr>
              <w:t>(18.5)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2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9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Cumulative effect of change in accounting for intangible assets, net of tax</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w w:val="96"/>
              </w:rPr>
              <w:t>(0.63)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2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Potential common shares:</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2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Assuming exercise of options/SARs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600"/>
              <w:spacing w:after="0"/>
              <w:rPr>
                <w:sz w:val="20"/>
                <w:szCs w:val="20"/>
                <w:color w:val="auto"/>
              </w:rPr>
            </w:pPr>
            <w:r>
              <w:rPr>
                <w:rFonts w:ascii="Times New Roman" w:cs="Times New Roman" w:eastAsia="Times New Roman" w:hAnsi="Times New Roman"/>
                <w:sz w:val="18"/>
                <w:szCs w:val="18"/>
                <w:color w:val="auto"/>
              </w:rPr>
              <w:t>Assuming exercise of warrants</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Weighted-average number of common shares outstanding and dilutive</w:t>
            </w:r>
          </w:p>
        </w:tc>
        <w:tc>
          <w:tcPr>
            <w:tcW w:w="8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potential common shares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8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9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Cumulative effect of change in accounting for intangible assets, net of tax</w:t>
            </w:r>
          </w:p>
        </w:tc>
        <w:tc>
          <w:tcPr>
            <w:tcW w:w="8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w w:val="96"/>
              </w:rPr>
              <w:t>(0.58)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5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Currently payable:</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74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7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41.3</w:t>
            </w: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74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EEEEEE"/>
          </w:tcPr>
          <w:p>
            <w:pPr>
              <w:spacing w:after="0"/>
              <w:rPr>
                <w:sz w:val="18"/>
                <w:szCs w:val="18"/>
                <w:color w:val="auto"/>
              </w:rPr>
            </w:pPr>
          </w:p>
        </w:tc>
        <w:tc>
          <w:tcPr>
            <w:tcW w:w="16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7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59.2</w:t>
            </w:r>
          </w:p>
        </w:tc>
        <w:tc>
          <w:tcPr>
            <w:tcW w:w="5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7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76</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8" w:name="page79"/>
    <w:bookmarkEnd w:id="78"/>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domestic and foreign components of income before taxes are as follows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2003</w:t>
            </w:r>
          </w:p>
        </w:tc>
        <w:tc>
          <w:tcPr>
            <w:tcW w:w="6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Domestic</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$143.2</w:t>
            </w:r>
          </w:p>
        </w:tc>
        <w:tc>
          <w:tcPr>
            <w:tcW w:w="21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$150.7</w:t>
            </w:r>
          </w:p>
        </w:tc>
        <w:tc>
          <w:tcPr>
            <w:tcW w:w="6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6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$158.5</w:t>
            </w:r>
          </w:p>
        </w:tc>
        <w:tc>
          <w:tcPr>
            <w:tcW w:w="218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$162.4</w:t>
            </w:r>
          </w:p>
        </w:tc>
        <w:tc>
          <w:tcPr>
            <w:tcW w:w="6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before income taxes from continuing operations is summarized below (in millions):</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22"/>
                <w:szCs w:val="22"/>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6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income tax rate</w:t>
            </w:r>
          </w:p>
        </w:tc>
        <w:tc>
          <w:tcPr>
            <w:tcW w:w="142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340" w:type="dxa"/>
            <w:vAlign w:val="bottom"/>
            <w:gridSpan w:val="3"/>
            <w:shd w:val="clear" w:color="auto" w:fill="EEEEEE"/>
          </w:tcPr>
          <w:p>
            <w:pPr>
              <w:jc w:val="right"/>
              <w:ind w:right="520"/>
              <w:spacing w:after="0"/>
              <w:rPr>
                <w:sz w:val="20"/>
                <w:szCs w:val="20"/>
                <w:color w:val="auto"/>
              </w:rPr>
            </w:pPr>
            <w:r>
              <w:rPr>
                <w:rFonts w:ascii="Times New Roman" w:cs="Times New Roman" w:eastAsia="Times New Roman" w:hAnsi="Times New Roman"/>
                <w:sz w:val="18"/>
                <w:szCs w:val="18"/>
                <w:color w:val="auto"/>
              </w:rPr>
              <w:t>35.0%</w:t>
            </w:r>
          </w:p>
        </w:tc>
        <w:tc>
          <w:tcPr>
            <w:tcW w:w="104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state effective tax rate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 in state NOL carry forwards</w:t>
            </w:r>
          </w:p>
        </w:tc>
        <w:tc>
          <w:tcPr>
            <w:tcW w:w="142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36.4%</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current and non-current components of deferred income taxes recognized in the Consolidated Balance Sheets at September 30 are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current deferred tax asset</w:t>
            </w:r>
          </w:p>
        </w:tc>
        <w:tc>
          <w:tcPr>
            <w:tcW w:w="30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$ 56.9</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Net non-current deferred tax liability (classified with other liabilities)</w:t>
            </w: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w w:val="96"/>
              </w:rPr>
              <w:t>(18.6)</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assets</w:t>
            </w:r>
          </w:p>
        </w:tc>
        <w:tc>
          <w:tcPr>
            <w:tcW w:w="30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$ 23.9</w:t>
            </w:r>
          </w:p>
        </w:tc>
        <w:tc>
          <w:tcPr>
            <w:tcW w:w="2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9" w:name="page80"/>
    <w:bookmarkEnd w:id="79"/>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net deferred tax asset are as follows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Postretirement benefits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108.9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107.9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tcPr>
          <w:p>
            <w:pPr>
              <w:spacing w:after="0"/>
              <w:rPr>
                <w:sz w:val="18"/>
                <w:szCs w:val="18"/>
                <w:color w:val="auto"/>
              </w:rPr>
            </w:pPr>
          </w:p>
        </w:tc>
        <w:tc>
          <w:tcPr>
            <w:tcW w:w="14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92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860" w:type="dxa"/>
            <w:vAlign w:val="bottom"/>
          </w:tcPr>
          <w:p>
            <w:pPr>
              <w:spacing w:after="0"/>
              <w:rPr>
                <w:sz w:val="24"/>
                <w:szCs w:val="24"/>
                <w:color w:val="auto"/>
              </w:rPr>
            </w:pPr>
          </w:p>
        </w:tc>
        <w:tc>
          <w:tcPr>
            <w:tcW w:w="14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w w:val="95"/>
              </w:rPr>
              <w:t>(106.2)</w:t>
            </w:r>
          </w:p>
        </w:tc>
        <w:tc>
          <w:tcPr>
            <w:tcW w:w="3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deferred tax asset</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State net operating loss carryforwards were $5.3 million and $4.4 million at September 30, 2004 and 2003, respectively. State net operating loss carryforward periods range from 5 to 20 years. Any losses not previously utilized within a specific state’s carryforward period will expire. State tax credits were $2.1 million and $2.8 million at September 30, 2004 and 2003, respectively. Any credits not previously utilized will begin to expire starting in fiscal 2006.</w:t>
      </w:r>
    </w:p>
    <w:p>
      <w:pPr>
        <w:spacing w:after="0" w:line="178"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The valuation allowance of $1.0 million at September 30, 2003 was to provide for capital losses of $1.0 million for which the benefits were not expected to be realized. Both the deferred tax asset and associated valuation allowance were written off in 2004.</w:t>
      </w:r>
    </w:p>
    <w:p>
      <w:pPr>
        <w:spacing w:after="0" w:line="201"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Deferred taxes have not been provided on unremitted earnings of certain foreign subsidiaries and foreign corporate joint ventures that arose in fiscal years ending on or before September 30, 2004 in accordance with APB 23 since such earnings have been permanently reinvested.</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taxes paid amounted to $34.7 million, $19.5 million, and $33.4 million in fiscal 2004, 2003 and 2002,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FINANCIAL INSTRUMENTS</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description of the Company’s financial instruments and the methods and assumptions used to estimate their fair values is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254" w:lineRule="exact"/>
        <w:rPr>
          <w:sz w:val="20"/>
          <w:szCs w:val="20"/>
          <w:color w:val="auto"/>
        </w:rPr>
      </w:pPr>
    </w:p>
    <w:p>
      <w:pPr>
        <w:ind w:right="380" w:firstLine="270"/>
        <w:spacing w:after="0" w:line="301" w:lineRule="auto"/>
        <w:rPr>
          <w:sz w:val="20"/>
          <w:szCs w:val="20"/>
          <w:color w:val="auto"/>
        </w:rPr>
      </w:pPr>
      <w:r>
        <w:rPr>
          <w:rFonts w:ascii="Times New Roman" w:cs="Times New Roman" w:eastAsia="Times New Roman" w:hAnsi="Times New Roman"/>
          <w:sz w:val="16"/>
          <w:szCs w:val="16"/>
          <w:color w:val="auto"/>
        </w:rPr>
        <w:t>At September 30, 2004 and 2003, The Scotts Company had $200 million outstanding, of 6 5/8% Senior Subordinated Notes due 2013 and $400 million outstanding of 8 5/8% Senior Subordinated Notes due 2009, respectively. The fair value of these notes was estimated based on recent trading information. Variable rate debt outstanding at September 30, 2004 and 2003 consisted of term loans under the Company’s credit agreement and local bank borrowings for certain of the Company’s foreign operations. The carrying amounts of these borrowings are considered to approximate their fair values.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Swap Agreements</w:t>
      </w:r>
    </w:p>
    <w:p>
      <w:pPr>
        <w:spacing w:after="0" w:line="254" w:lineRule="exact"/>
        <w:rPr>
          <w:sz w:val="20"/>
          <w:szCs w:val="20"/>
          <w:color w:val="auto"/>
        </w:rPr>
      </w:pPr>
    </w:p>
    <w:p>
      <w:pPr>
        <w:ind w:right="460" w:firstLine="270"/>
        <w:spacing w:after="0" w:line="262" w:lineRule="auto"/>
        <w:rPr>
          <w:sz w:val="20"/>
          <w:szCs w:val="20"/>
          <w:color w:val="auto"/>
        </w:rPr>
      </w:pPr>
      <w:r>
        <w:rPr>
          <w:rFonts w:ascii="Times New Roman" w:cs="Times New Roman" w:eastAsia="Times New Roman" w:hAnsi="Times New Roman"/>
          <w:sz w:val="18"/>
          <w:szCs w:val="18"/>
          <w:color w:val="auto"/>
        </w:rPr>
        <w:t>At September 30, 2004 and 2003, Scotts had nine and five interest rate swaps outstanding, respectively, with major financial institutions that effectively convert a portion of its variable-rate debt to a fixed rate. The swaps outstanding at September 30, 2004, have notional amounts between $10 million and $50 million ($175 million and $75 million in total, respectively) with three to seven-year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commencing in October 2001. Under the terms of these swaps, the Company pays swap rates ranging from 2.76% to 3.77% plus a spread based on the pricing grid contained in the credit agreement and receives three-month LIBOR in return.</w:t>
      </w:r>
    </w:p>
    <w:p>
      <w:pPr>
        <w:spacing w:after="0" w:line="20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Scotts enters into interest rate swap agreements as a means to hedge its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in other comprehensive income. The fair value of the swap agreements was determined based on the present value of the estimated future net cash flows using implied rates in the applicable yield curve as of the valuation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Locks</w:t>
      </w:r>
    </w:p>
    <w:p>
      <w:pPr>
        <w:spacing w:after="0" w:line="254" w:lineRule="exact"/>
        <w:rPr>
          <w:sz w:val="20"/>
          <w:szCs w:val="20"/>
          <w:color w:val="auto"/>
        </w:rPr>
      </w:pPr>
    </w:p>
    <w:p>
      <w:pPr>
        <w:ind w:right="60" w:firstLine="270"/>
        <w:spacing w:after="0" w:line="262" w:lineRule="auto"/>
        <w:rPr>
          <w:sz w:val="20"/>
          <w:szCs w:val="20"/>
          <w:color w:val="auto"/>
        </w:rPr>
      </w:pPr>
      <w:r>
        <w:rPr>
          <w:rFonts w:ascii="Times New Roman" w:cs="Times New Roman" w:eastAsia="Times New Roman" w:hAnsi="Times New Roman"/>
          <w:sz w:val="18"/>
          <w:szCs w:val="18"/>
          <w:color w:val="auto"/>
        </w:rPr>
        <w:t>The Scotts Company entered into the interest rate locks to hedge its interest rate exposure on the offering of the 8 5/8% Senior Subordinated Notes due 2009, which were tendered in fiscal 2004. The net amount paid under the interest rate locks is reflected as an adjustment to the carrying amount of the 8 5/8% Senior Subordinated Notes.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are as follows for the fiscal years ended September 30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2004</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Revolving and term loans under Credit Agreement</w:t>
            </w:r>
          </w:p>
        </w:tc>
        <w:tc>
          <w:tcPr>
            <w:tcW w:w="1420" w:type="dxa"/>
            <w:vAlign w:val="bottom"/>
            <w:shd w:val="clear" w:color="auto" w:fill="EEEEEE"/>
          </w:tcPr>
          <w:p>
            <w:pPr>
              <w:jc w:val="right"/>
              <w:ind w:right="581"/>
              <w:spacing w:after="0"/>
              <w:rPr>
                <w:sz w:val="20"/>
                <w:szCs w:val="20"/>
                <w:color w:val="auto"/>
              </w:rPr>
            </w:pPr>
            <w:r>
              <w:rPr>
                <w:rFonts w:ascii="Times New Roman" w:cs="Times New Roman" w:eastAsia="Times New Roman" w:hAnsi="Times New Roman"/>
                <w:sz w:val="18"/>
                <w:szCs w:val="18"/>
                <w:color w:val="auto"/>
              </w:rPr>
              <w:t>$399.0</w:t>
            </w:r>
          </w:p>
        </w:tc>
        <w:tc>
          <w:tcPr>
            <w:tcW w:w="860" w:type="dxa"/>
            <w:vAlign w:val="bottom"/>
            <w:shd w:val="clear" w:color="auto" w:fill="EEEEEE"/>
          </w:tcPr>
          <w:p>
            <w:pPr>
              <w:jc w:val="right"/>
              <w:ind w:right="119"/>
              <w:spacing w:after="0"/>
              <w:rPr>
                <w:sz w:val="20"/>
                <w:szCs w:val="20"/>
                <w:color w:val="auto"/>
              </w:rPr>
            </w:pPr>
            <w:r>
              <w:rPr>
                <w:rFonts w:ascii="Times New Roman" w:cs="Times New Roman" w:eastAsia="Times New Roman" w:hAnsi="Times New Roman"/>
                <w:sz w:val="18"/>
                <w:szCs w:val="18"/>
                <w:color w:val="auto"/>
              </w:rPr>
              <w:t>$399.0</w:t>
            </w:r>
          </w:p>
        </w:tc>
        <w:tc>
          <w:tcPr>
            <w:tcW w:w="1160" w:type="dxa"/>
            <w:vAlign w:val="bottom"/>
            <w:gridSpan w:val="2"/>
            <w:shd w:val="clear" w:color="auto" w:fill="EEEEEE"/>
          </w:tcPr>
          <w:p>
            <w:pPr>
              <w:jc w:val="right"/>
              <w:ind w:right="72"/>
              <w:spacing w:after="0"/>
              <w:rPr>
                <w:sz w:val="20"/>
                <w:szCs w:val="20"/>
                <w:color w:val="auto"/>
              </w:rPr>
            </w:pPr>
            <w:r>
              <w:rPr>
                <w:rFonts w:ascii="Times New Roman" w:cs="Times New Roman" w:eastAsia="Times New Roman" w:hAnsi="Times New Roman"/>
                <w:sz w:val="18"/>
                <w:szCs w:val="18"/>
                <w:color w:val="auto"/>
              </w:rPr>
              <w:t>$326.5</w:t>
            </w:r>
          </w:p>
        </w:tc>
        <w:tc>
          <w:tcPr>
            <w:tcW w:w="1300" w:type="dxa"/>
            <w:vAlign w:val="bottom"/>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Senior Subordinated Notes</w:t>
            </w:r>
          </w:p>
        </w:tc>
        <w:tc>
          <w:tcPr>
            <w:tcW w:w="142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211.8</w:t>
            </w:r>
          </w:p>
        </w:tc>
        <w:tc>
          <w:tcPr>
            <w:tcW w:w="11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400.0</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Foreign bank borrowings and term loans</w:t>
            </w:r>
          </w:p>
        </w:tc>
        <w:tc>
          <w:tcPr>
            <w:tcW w:w="1420" w:type="dxa"/>
            <w:vAlign w:val="bottom"/>
            <w:shd w:val="clear" w:color="auto" w:fill="EEEEEE"/>
          </w:tcPr>
          <w:p>
            <w:pPr>
              <w:jc w:val="right"/>
              <w:ind w:right="581"/>
              <w:spacing w:after="0"/>
              <w:rPr>
                <w:sz w:val="20"/>
                <w:szCs w:val="20"/>
                <w:color w:val="auto"/>
              </w:rPr>
            </w:pPr>
            <w:r>
              <w:rPr>
                <w:rFonts w:ascii="Times New Roman" w:cs="Times New Roman" w:eastAsia="Times New Roman" w:hAnsi="Times New Roman"/>
                <w:sz w:val="18"/>
                <w:szCs w:val="18"/>
                <w:color w:val="auto"/>
              </w:rPr>
              <w:t>10.8</w:t>
            </w:r>
          </w:p>
        </w:tc>
        <w:tc>
          <w:tcPr>
            <w:tcW w:w="860" w:type="dxa"/>
            <w:vAlign w:val="bottom"/>
            <w:shd w:val="clear" w:color="auto" w:fill="EEEEEE"/>
          </w:tcPr>
          <w:p>
            <w:pPr>
              <w:jc w:val="right"/>
              <w:ind w:right="119"/>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gridSpan w:val="2"/>
            <w:shd w:val="clear" w:color="auto" w:fill="EEEEEE"/>
          </w:tcPr>
          <w:p>
            <w:pPr>
              <w:jc w:val="right"/>
              <w:ind w:right="72"/>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42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Excluded from the fair value table above are the following items that are included in the Company’s total debt balances at September 30, 2004 and 2003 (in millions):</w:t>
      </w:r>
    </w:p>
    <w:p>
      <w:pPr>
        <w:spacing w:after="0" w:line="388"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Amounts paid to settle treasury locks</w:t>
            </w:r>
          </w:p>
        </w:tc>
        <w:tc>
          <w:tcPr>
            <w:tcW w:w="2000" w:type="dxa"/>
            <w:vAlign w:val="bottom"/>
            <w:shd w:val="clear" w:color="auto" w:fill="EEEEEE"/>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rPr>
              <w:t>$ (6.9)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Notes due to sellers</w:t>
            </w:r>
          </w:p>
        </w:tc>
        <w:tc>
          <w:tcPr>
            <w:tcW w:w="200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EEEEEE"/>
          </w:tcPr>
          <w:p>
            <w:pPr>
              <w:jc w:val="right"/>
              <w:ind w:right="277"/>
              <w:spacing w:after="0"/>
              <w:rPr>
                <w:sz w:val="20"/>
                <w:szCs w:val="20"/>
                <w:color w:val="auto"/>
              </w:rPr>
            </w:pPr>
            <w:r>
              <w:rPr>
                <w:rFonts w:ascii="Times New Roman" w:cs="Times New Roman" w:eastAsia="Times New Roman" w:hAnsi="Times New Roman"/>
                <w:sz w:val="18"/>
                <w:szCs w:val="18"/>
                <w:color w:val="auto"/>
              </w:rPr>
              <w:t>7.6</w:t>
            </w:r>
          </w:p>
        </w:tc>
        <w:tc>
          <w:tcPr>
            <w:tcW w:w="1000" w:type="dxa"/>
            <w:vAlign w:val="bottom"/>
            <w:shd w:val="clear" w:color="auto" w:fill="EEEEEE"/>
          </w:tcPr>
          <w:p>
            <w:pPr>
              <w:jc w:val="right"/>
              <w:ind w:right="177"/>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OPERATING LEASES</w:t>
      </w:r>
    </w:p>
    <w:p>
      <w:pPr>
        <w:spacing w:after="0" w:line="254" w:lineRule="exact"/>
        <w:rPr>
          <w:sz w:val="20"/>
          <w:szCs w:val="20"/>
          <w:color w:val="auto"/>
        </w:rPr>
      </w:pPr>
    </w:p>
    <w:p>
      <w:pPr>
        <w:ind w:firstLine="270"/>
        <w:spacing w:after="0" w:line="275" w:lineRule="auto"/>
        <w:rPr>
          <w:sz w:val="20"/>
          <w:szCs w:val="20"/>
          <w:color w:val="auto"/>
        </w:rPr>
      </w:pPr>
      <w:r>
        <w:rPr>
          <w:rFonts w:ascii="Times New Roman" w:cs="Times New Roman" w:eastAsia="Times New Roman" w:hAnsi="Times New Roman"/>
          <w:sz w:val="18"/>
          <w:szCs w:val="18"/>
          <w:color w:val="auto"/>
        </w:rPr>
        <w:t>The Company leases buildings, land and equipment under various noncancellable lease agreements for periods of two to fourteen years. The lease agreements generally provide that the Company pay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insurance and maintenance expenses related to the leased assets. Certain lease agreements contain purchase options. At September 30, 2004, future minimum lease payments were as follows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2005</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2007</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2009</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The Company also leases transportation and production equipment under various one-year operating leases, which provide for the extension of the initial term on a monthly or annual basis. Total rental expenses for operating leases were $44.8 million, $40.8 million and $33.6 million for fiscal 2004, 2003 and 2002,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Aircraft Lease</w:t>
      </w:r>
    </w:p>
    <w:p>
      <w:pPr>
        <w:spacing w:after="0" w:line="254" w:lineRule="exact"/>
        <w:rPr>
          <w:sz w:val="20"/>
          <w:szCs w:val="20"/>
          <w:color w:val="auto"/>
        </w:rPr>
      </w:pPr>
    </w:p>
    <w:p>
      <w:pPr>
        <w:ind w:right="340" w:firstLine="270"/>
        <w:spacing w:after="0" w:line="258" w:lineRule="auto"/>
        <w:rPr>
          <w:sz w:val="20"/>
          <w:szCs w:val="20"/>
          <w:color w:val="auto"/>
        </w:rPr>
      </w:pPr>
      <w:r>
        <w:rPr>
          <w:rFonts w:ascii="Times New Roman" w:cs="Times New Roman" w:eastAsia="Times New Roman" w:hAnsi="Times New Roman"/>
          <w:sz w:val="18"/>
          <w:szCs w:val="18"/>
          <w:color w:val="auto"/>
        </w:rPr>
        <w:t>In late January 2004, the Company took final delivery of a used aircraft in a synthetic operating lease transaction. The lease agreement provides that the Company pays taxes, insurance and maintenance on the aircraft. The lease term expires in August 2008, but provides for a purchase option and two one-year renewal options at a fair market rental value, as defined in the lease agreement. The Company also has a maximum contingent obligation approximating $9.3 million based on the provisions of a residual value guarantee.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w:t>
      </w:r>
    </w:p>
    <w:p>
      <w:pPr>
        <w:spacing w:after="0" w:line="254" w:lineRule="exact"/>
        <w:rPr>
          <w:sz w:val="20"/>
          <w:szCs w:val="20"/>
          <w:color w:val="auto"/>
        </w:rPr>
      </w:pPr>
    </w:p>
    <w:p>
      <w:pPr>
        <w:ind w:right="20" w:firstLine="270"/>
        <w:spacing w:after="0" w:line="275" w:lineRule="auto"/>
        <w:rPr>
          <w:sz w:val="20"/>
          <w:szCs w:val="20"/>
          <w:color w:val="auto"/>
        </w:rPr>
      </w:pPr>
      <w:r>
        <w:rPr>
          <w:rFonts w:ascii="Times New Roman" w:cs="Times New Roman" w:eastAsia="Times New Roman" w:hAnsi="Times New Roman"/>
          <w:sz w:val="18"/>
          <w:szCs w:val="18"/>
          <w:color w:val="auto"/>
        </w:rPr>
        <w:t>The Company has the following unconditional purchase obligations due during each of the next five fiscal years that have not been recognized on the balance sheet at September 30, 2004 (in millions):</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5"/>
                <w:szCs w:val="15"/>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Purchase obligations (primarily seed commitments)</w:t>
            </w:r>
          </w:p>
        </w:tc>
        <w:tc>
          <w:tcPr>
            <w:tcW w:w="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Smith &amp; Hawken acquisition</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Annual contribution payment under Roundup® marketing</w:t>
            </w:r>
          </w:p>
        </w:tc>
        <w:tc>
          <w:tcPr>
            <w:tcW w:w="2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shd w:val="clear" w:color="auto" w:fill="EEEEEE"/>
          </w:tcPr>
          <w:p>
            <w:pPr>
              <w:spacing w:after="0"/>
              <w:rPr>
                <w:sz w:val="20"/>
                <w:szCs w:val="20"/>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EEEEEE"/>
          </w:tcPr>
          <w:p>
            <w:pPr>
              <w:spacing w:after="0"/>
              <w:rPr>
                <w:sz w:val="20"/>
                <w:szCs w:val="20"/>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EEEEEE"/>
          </w:tcPr>
          <w:p>
            <w:pPr>
              <w:spacing w:after="0"/>
              <w:rPr>
                <w:sz w:val="20"/>
                <w:szCs w:val="20"/>
                <w:color w:val="auto"/>
              </w:rPr>
            </w:pPr>
          </w:p>
        </w:tc>
        <w:tc>
          <w:tcPr>
            <w:tcW w:w="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EEEEEE"/>
          </w:tcPr>
          <w:p>
            <w:pPr>
              <w:spacing w:after="0"/>
              <w:rPr>
                <w:sz w:val="20"/>
                <w:szCs w:val="20"/>
                <w:color w:val="auto"/>
              </w:rPr>
            </w:pPr>
          </w:p>
        </w:tc>
        <w:tc>
          <w:tcPr>
            <w:tcW w:w="7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60" w:type="dxa"/>
            <w:vAlign w:val="bottom"/>
            <w:tcBorders>
              <w:right w:val="single" w:sz="8" w:color="EEEEEE"/>
            </w:tcBorders>
            <w:shd w:val="clear" w:color="auto" w:fill="EEEEEE"/>
          </w:tcPr>
          <w:p>
            <w:pPr>
              <w:spacing w:after="0"/>
              <w:rPr>
                <w:sz w:val="20"/>
                <w:szCs w:val="20"/>
                <w:color w:val="auto"/>
              </w:rPr>
            </w:pP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25.0</w:t>
            </w:r>
          </w:p>
        </w:tc>
        <w:tc>
          <w:tcPr>
            <w:tcW w:w="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183.9</w:t>
            </w:r>
          </w:p>
        </w:tc>
        <w:tc>
          <w:tcPr>
            <w:tcW w:w="2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CONTINGENCIES</w:t>
      </w:r>
    </w:p>
    <w:p>
      <w:pPr>
        <w:spacing w:after="0" w:line="254"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54" w:lineRule="exact"/>
        <w:rPr>
          <w:sz w:val="20"/>
          <w:szCs w:val="20"/>
          <w:color w:val="auto"/>
        </w:rPr>
      </w:pPr>
    </w:p>
    <w:p>
      <w:pPr>
        <w:ind w:firstLine="270"/>
        <w:spacing w:after="0" w:line="339" w:lineRule="auto"/>
        <w:rPr>
          <w:sz w:val="20"/>
          <w:szCs w:val="20"/>
          <w:color w:val="auto"/>
        </w:rPr>
      </w:pPr>
      <w:r>
        <w:rPr>
          <w:rFonts w:ascii="Times New Roman" w:cs="Times New Roman" w:eastAsia="Times New Roman" w:hAnsi="Times New Roman"/>
          <w:sz w:val="16"/>
          <w:szCs w:val="16"/>
          <w:color w:val="auto"/>
        </w:rPr>
        <w:t>In June 1997, the Ohio EPA initiated an enforcement action against us with respect to alleged surface water violations and inadequate treatment capabilities at our Marysville, Ohio facility and seeking corrective action under the federal Resource Conservation and Recovery Act. The action relates to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90805</wp:posOffset>
            </wp:positionV>
            <wp:extent cx="386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discontinued on-site disposal areas which date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w:t>
      </w:r>
    </w:p>
    <w:p>
      <w:pPr>
        <w:spacing w:after="0" w:line="21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Pursuant to the Consent Order,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w:t>
      </w:r>
    </w:p>
    <w:p>
      <w:pPr>
        <w:spacing w:after="0" w:line="21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220"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At September 30, 2004, $6.0 million was accrued for the environmental and regulatory matters described herein, the majority of which is for site remediation. Most of the costs accrued as of September 30, 2004, are expected to be paid in fiscal 2005 and 2006; however, payments could be made for a period thereafter.</w:t>
      </w:r>
    </w:p>
    <w:p>
      <w:pPr>
        <w:spacing w:after="0" w:line="213" w:lineRule="exact"/>
        <w:rPr>
          <w:sz w:val="20"/>
          <w:szCs w:val="20"/>
          <w:color w:val="auto"/>
        </w:rPr>
      </w:pPr>
    </w:p>
    <w:p>
      <w:pPr>
        <w:ind w:right="660" w:firstLine="324"/>
        <w:spacing w:after="0" w:line="275" w:lineRule="auto"/>
        <w:rPr>
          <w:sz w:val="20"/>
          <w:szCs w:val="20"/>
          <w:color w:val="auto"/>
        </w:rPr>
      </w:pPr>
      <w:r>
        <w:rPr>
          <w:rFonts w:ascii="Times New Roman" w:cs="Times New Roman" w:eastAsia="Times New Roman" w:hAnsi="Times New Roman"/>
          <w:sz w:val="18"/>
          <w:szCs w:val="18"/>
          <w:color w:val="auto"/>
        </w:rPr>
        <w:t>We believe that the amounts accrued as of September 30, 2004 are adequate to cover our known environmental exposures based on current facts and estimates of likely outcome. However, the adequacy of these accruals is based on several significant assumptions:</w:t>
      </w:r>
    </w:p>
    <w:p>
      <w:pPr>
        <w:spacing w:after="0" w:line="174" w:lineRule="exact"/>
        <w:rPr>
          <w:sz w:val="20"/>
          <w:szCs w:val="20"/>
          <w:color w:val="auto"/>
        </w:rPr>
      </w:pPr>
    </w:p>
    <w:p>
      <w:pPr>
        <w:ind w:left="460" w:hanging="101"/>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all of the significant sites that must be remediated;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significant conditions of potential contamination that are unknown to us; and</w:t>
      </w:r>
    </w:p>
    <w:p>
      <w:pPr>
        <w:spacing w:after="0" w:line="279" w:lineRule="exact"/>
        <w:rPr>
          <w:rFonts w:ascii="Times New Roman" w:cs="Times New Roman" w:eastAsia="Times New Roman" w:hAnsi="Times New Roman"/>
          <w:sz w:val="18"/>
          <w:szCs w:val="18"/>
          <w:color w:val="auto"/>
        </w:rPr>
      </w:pPr>
    </w:p>
    <w:p>
      <w:pPr>
        <w:ind w:left="460" w:right="560" w:hanging="101"/>
        <w:spacing w:after="0" w:line="275"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1"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fiscal 2004, 2003, and 2002 we have expensed approximately $3.3 million, $1.5 million, and $5.4 million for environmental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AgrEvo Environmental Health, Inc.</w:t>
      </w:r>
    </w:p>
    <w:p>
      <w:pPr>
        <w:spacing w:after="0" w:line="254" w:lineRule="exact"/>
        <w:rPr>
          <w:sz w:val="20"/>
          <w:szCs w:val="20"/>
          <w:color w:val="auto"/>
        </w:rPr>
      </w:pPr>
    </w:p>
    <w:p>
      <w:pPr>
        <w:ind w:firstLine="270"/>
        <w:spacing w:after="0" w:line="289" w:lineRule="auto"/>
        <w:rPr>
          <w:sz w:val="20"/>
          <w:szCs w:val="20"/>
          <w:color w:val="auto"/>
        </w:rPr>
      </w:pPr>
      <w:r>
        <w:rPr>
          <w:rFonts w:ascii="Times New Roman" w:cs="Times New Roman" w:eastAsia="Times New Roman" w:hAnsi="Times New Roman"/>
          <w:sz w:val="16"/>
          <w:szCs w:val="16"/>
          <w:color w:val="auto"/>
        </w:rPr>
        <w:t>On June 3, 1999, AgrEvo Environmental Health, Inc. (“AgrEvo”) (which subsequently changed its name to Aventis Environmental Health Science USA LP) filed a complaint in the U.S. District Court for the Southern District of New York (the “New York Action”), against The Scotts Company, a subsidiary of The Scotts Company and Monsanto seeking damages and injunctive relief for alleged antitrust violations and breach of contract by The Scotts Company and its subsidiary and antitrust violations and tortious interference with contract by Monsanto. The Scotts Company purchased a consumer herbicide business from AgrEvo in May 1998. AgrEvo claims in the suit that The Scotts Company’s subsequent agreement to become Monsanto’s exclusive sales and marketing agent for Monsanto’s consumer Roundup® business violated the federal antitrust laws. AgrEvo contends that Monsanto attempted to or did monopolize the market for non-selective herbicides and conspired with The Scotts Company to eliminate the herbicide The Scotts Company previously purchased from AgrEvo, which competed with Monsanto’s Roundup®. AgrEvo also contends that The Scotts Company’s execution of various agreements with Monsanto, including the Roundup® marketing agreement, as well as The Scotts Company’s subsequent actions, violated agreements between AgrEvo and The Scotts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114935</wp:posOffset>
            </wp:positionV>
            <wp:extent cx="3860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jc w:val="both"/>
        <w:ind w:right="140" w:firstLine="324"/>
        <w:spacing w:after="0" w:line="262" w:lineRule="auto"/>
        <w:rPr>
          <w:sz w:val="20"/>
          <w:szCs w:val="20"/>
          <w:color w:val="auto"/>
        </w:rPr>
      </w:pPr>
      <w:r>
        <w:rPr>
          <w:rFonts w:ascii="Times New Roman" w:cs="Times New Roman" w:eastAsia="Times New Roman" w:hAnsi="Times New Roman"/>
          <w:sz w:val="18"/>
          <w:szCs w:val="18"/>
          <w:color w:val="auto"/>
        </w:rPr>
        <w:t>AgrEvo is requesting specific damages as well as affirmative injunctive relief, and seeking to have the court invalidate the Roundup® marketing agreement as violative of the federal antitrust laws. Under the indemnification provisions of the Roundup® marketing agreement, Monsanto and The Scotts Company each have requested that the other indemnify against any losses arising from this lawsuit.</w:t>
      </w:r>
    </w:p>
    <w:p>
      <w:pPr>
        <w:spacing w:after="0" w:line="213"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On January 10, 2003, The Scotts Company filed a supplemental counterclaim against AgrEvo for breach of contract. The Scotts Company alleges that AgrEvo owes The Scotts Company for amounts that The Scotts Company overpaid to AgrEvo. The Scotts Company’s counterclaim is now part of the underlying litigation. A trial date has been set for February 22, 2005.</w:t>
      </w:r>
    </w:p>
    <w:p>
      <w:pPr>
        <w:spacing w:after="0" w:line="21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Scotts Company believes that AgrEvo’s claims in these matters are without merit and is vigorously defending against them. If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these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Central Garden &amp; Pet Company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The Scotts Company v. Central Garden, Southern District of Ohio</w:t>
      </w:r>
    </w:p>
    <w:p>
      <w:pPr>
        <w:spacing w:after="0" w:line="254" w:lineRule="exact"/>
        <w:rPr>
          <w:sz w:val="20"/>
          <w:szCs w:val="20"/>
          <w:color w:val="auto"/>
        </w:rPr>
      </w:pPr>
    </w:p>
    <w:p>
      <w:pPr>
        <w:ind w:right="440" w:firstLine="270"/>
        <w:spacing w:after="0" w:line="339" w:lineRule="auto"/>
        <w:rPr>
          <w:sz w:val="20"/>
          <w:szCs w:val="20"/>
          <w:color w:val="auto"/>
        </w:rPr>
      </w:pPr>
      <w:r>
        <w:rPr>
          <w:rFonts w:ascii="Times New Roman" w:cs="Times New Roman" w:eastAsia="Times New Roman" w:hAnsi="Times New Roman"/>
          <w:sz w:val="16"/>
          <w:szCs w:val="16"/>
          <w:color w:val="auto"/>
        </w:rPr>
        <w:t>On June 30, 2000, The Scotts Company filed suit against Central Garden &amp; Pet Company (“Central Garden”) in the U.S. District Court for the Southern District of Ohio (the “Ohio Action”) to recover approximately $24 million in accounts receivable and additional damages for other breaches of duty.</w:t>
      </w:r>
    </w:p>
    <w:p>
      <w:pPr>
        <w:spacing w:after="0" w:line="1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Central Garden filed counterclaims including allegations that The Scotts Company and Central Garden had entered into an oral agreement in April 1998 whereby The Scotts Company would allegedly share with Central Garden the benefits and liabilities of any future business integration between The Scotts Company and Monsanto. The court dismissed a number of Central Garden’s counterclaims as well as The Scotts Company’s claims that Central Garden breached other duties owed to The Scotts Company. On April 22, 2002, a jury returned a verdict in favor of The Scotts Company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 On September 22, 2003, the court entered a final judgment, which provided for a net award to The Scotts Company of approximately $14 million, together with interest at 2.31% through the date of payment. Central Garden has appealed and The Scotts Company has cross-appealed from that final judgment. Therefore, no accrual has been established related to the claims brought against The Scotts Company by Central Garden, except for amounts ordered paid to Central Garden in the Ohio Action. The financial statements have not been adjusted to reflect any potential recoveries with respect to this matter.</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Central Garden v. Scotts &amp; Pharmacia, Northern District of California</w:t>
      </w:r>
    </w:p>
    <w:p>
      <w:pPr>
        <w:spacing w:after="0" w:line="254"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On July 7, 2000, Central Garden filed suit against The Scotts Company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The Scotts Company and Central Garden each filed summary judgment motions in this action. On June 26, 2002, the court granted summary judgment in favor of The Scotts Company and dismissed all of Central Garden’s then remaining claims. That judgment has been affirmed by the United States Court of Appeals.</w:t>
      </w:r>
    </w:p>
    <w:p>
      <w:pPr>
        <w:spacing w:after="0" w:line="22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Although The Scotts Company has prevailed consistently and extensively in the litigation with Central Garden, some of the decisions in The Scotts Company’s favor are subject to appeal and possible further proceedings. If, upon appeal or otherwise, the above actions are determined adversely to The Scotts Company, the result could have a material adverse effect on The Scotts Company’s results of operations, financial position and cash flows. The Scotts Company believes that it will continue to prevail in the Central Garden matters and that any potential exposure that The Scotts Company may face cannot be reasonably estimated. Therefore, no accrual has been established related to the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84" w:name="page85"/>
    <w:bookmarkEnd w:id="84"/>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Horticultural Supply, Inc. (F/ K/ A E.C. Geiger, Inc.)</w:t>
      </w:r>
    </w:p>
    <w:p>
      <w:pPr>
        <w:spacing w:after="0" w:line="254" w:lineRule="exact"/>
        <w:rPr>
          <w:sz w:val="20"/>
          <w:szCs w:val="20"/>
          <w:color w:val="auto"/>
        </w:rPr>
      </w:pPr>
    </w:p>
    <w:p>
      <w:pPr>
        <w:ind w:right="260" w:firstLine="270"/>
        <w:spacing w:after="0" w:line="258" w:lineRule="auto"/>
        <w:rPr>
          <w:sz w:val="20"/>
          <w:szCs w:val="20"/>
          <w:color w:val="auto"/>
        </w:rPr>
      </w:pPr>
      <w:r>
        <w:rPr>
          <w:rFonts w:ascii="Times New Roman" w:cs="Times New Roman" w:eastAsia="Times New Roman" w:hAnsi="Times New Roman"/>
          <w:sz w:val="18"/>
          <w:szCs w:val="18"/>
          <w:color w:val="auto"/>
        </w:rPr>
        <w:t>On February 7, 2003, U.S. Horticultural Supply (“Geiger”) filed suit against The Scotts Company in the U.S. District Court for the Eastern District of Pennsylvania. Geiger alleged claims of breach of contract, promissory estoppel, and a violation of federal antitrust laws, and seeks an unspecified amount of damages. Geiger’s promissory estoppel claims have been dismissed. The parties have commenced discovery on the antitrust and breach of contract claims. No trial date has been set.</w:t>
      </w:r>
    </w:p>
    <w:p>
      <w:pPr>
        <w:spacing w:after="0" w:line="217"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On February 2, 2004, Geiger filed for bankruptcy protection pursuant to Chapter 11 of the United States Bankruptcy Code. Geiger has filed an adversary proceeding as part of the bankruptcy alleging that The Scotts Company interfered with an agreement between Geiger and the purchaser of its operating assets and seeks damages in an unspecified amount.</w:t>
      </w:r>
    </w:p>
    <w:p>
      <w:pPr>
        <w:spacing w:after="0" w:line="213" w:lineRule="exact"/>
        <w:rPr>
          <w:sz w:val="20"/>
          <w:szCs w:val="20"/>
          <w:color w:val="auto"/>
        </w:rPr>
      </w:pPr>
    </w:p>
    <w:p>
      <w:pPr>
        <w:jc w:val="both"/>
        <w:ind w:right="600" w:firstLine="324"/>
        <w:spacing w:after="0" w:line="262" w:lineRule="auto"/>
        <w:rPr>
          <w:sz w:val="20"/>
          <w:szCs w:val="20"/>
          <w:color w:val="auto"/>
        </w:rPr>
      </w:pPr>
      <w:r>
        <w:rPr>
          <w:rFonts w:ascii="Times New Roman" w:cs="Times New Roman" w:eastAsia="Times New Roman" w:hAnsi="Times New Roman"/>
          <w:sz w:val="18"/>
          <w:szCs w:val="18"/>
          <w:color w:val="auto"/>
        </w:rPr>
        <w:t>On November 5, 2004, Geiger filed another suit against The Scotts Company in the U.S. District Court for the Eastern District of Pennsylvania. This complaint alleges that Scotts conspired with another distributor, Griffin Greenhouse Supplies, Inc. to restrain trade in the horticultural products market, in violation of Sections 1 and 57 of the Sherman Antitrust Act.</w:t>
      </w:r>
    </w:p>
    <w:p>
      <w:pPr>
        <w:spacing w:after="0" w:line="21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Scotts Company believes that all of Geiger’s claims are without merit and intends to vigorously defend against them. If any of the above actions are determined adversely to The Scotts Company, the result could have a material adverse effect on The Scotts Company’s results of operations, financial position and cash flows. Any potential exposure that The Scotts Company may face cannot be reasonably estimated. Therefore, no accrual has been established related to this matter.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254" w:lineRule="exact"/>
        <w:rPr>
          <w:sz w:val="20"/>
          <w:szCs w:val="20"/>
          <w:color w:val="auto"/>
        </w:rPr>
      </w:pPr>
    </w:p>
    <w:p>
      <w:pPr>
        <w:ind w:right="40" w:firstLine="270"/>
        <w:spacing w:after="0" w:line="291" w:lineRule="auto"/>
        <w:rPr>
          <w:sz w:val="20"/>
          <w:szCs w:val="20"/>
          <w:color w:val="auto"/>
        </w:rPr>
      </w:pPr>
      <w:r>
        <w:rPr>
          <w:rFonts w:ascii="Times New Roman" w:cs="Times New Roman" w:eastAsia="Times New Roman" w:hAnsi="Times New Roman"/>
          <w:sz w:val="16"/>
          <w:szCs w:val="16"/>
          <w:color w:val="auto"/>
        </w:rPr>
        <w:t>The Scotts Company has been named a defendant in a number of cases alleging injuries that the lawsuits claim resulted from exposure to asbestos-containing products, apparently based on The Scotts Company’s historic use of vermiculite in certain of its products. The complaints in these cases are not specific about the plaintiffs’ contacts with The Scotts Company or its products. The Scotts Company in each case is one of numerous defendants and none of the claims seeks damages from The Scotts Company alone. The Scotts Company believes that the claims against it are without merit and is vigorously defending them. It is not currently possible to reasonably estimate a probable loss, if any, associated with the cases and, accordingly, no accrual or reserves have been recorded in The Scotts Company’s consolidated financial statements. There can be no assurance that these cases, whether as a result of adverse outcomes or as a result of significant defense costs, will not have a material adverse effect on The Scotts Company, its financial condition or its results of operations.</w:t>
      </w:r>
    </w:p>
    <w:p>
      <w:pPr>
        <w:spacing w:after="0" w:line="194"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8"/>
          <w:szCs w:val="18"/>
          <w:color w:val="auto"/>
        </w:rPr>
        <w:t>The Scotts Company is reviewing agreements and policies that may provide insurance coverage or indemnity as to these claims and is pursuing coverage under some of these agreements, although there can be no assurance of the results of these efforts.</w:t>
      </w:r>
    </w:p>
    <w:p>
      <w:pPr>
        <w:spacing w:after="0" w:line="201"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CONCENTRATIONS OF CREDIT RISK</w:t>
      </w:r>
    </w:p>
    <w:p>
      <w:pPr>
        <w:spacing w:after="0" w:line="254"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2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September 30, 2004, 71% of the Company’s accounts receivable was due in North America, with 6% related to on-going litigation documented in Note 16 to the Consolidated Financial Statements. Approximately 84% of the North American accounts receivable was generated from the Company’s consumer business. The most significant concentration of receivables within the North American consumer business was from our top 3 customers, which accounted for 68% of the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right="520" w:firstLine="324"/>
        <w:spacing w:after="0" w:line="339" w:lineRule="auto"/>
        <w:rPr>
          <w:sz w:val="20"/>
          <w:szCs w:val="20"/>
          <w:color w:val="auto"/>
        </w:rPr>
      </w:pPr>
      <w:r>
        <w:rPr>
          <w:rFonts w:ascii="Times New Roman" w:cs="Times New Roman" w:eastAsia="Times New Roman" w:hAnsi="Times New Roman"/>
          <w:sz w:val="16"/>
          <w:szCs w:val="16"/>
          <w:color w:val="auto"/>
        </w:rPr>
        <w:t>The remaining 16% of North American accounts receivable was generated from customers of Scotts LawnService® and North American Professional businesses. Nearly all of the accounts receivable for the North America Professional business at September 30, 2004 were due from distributors.</w:t>
      </w:r>
    </w:p>
    <w:p>
      <w:pPr>
        <w:spacing w:after="0" w:line="156" w:lineRule="exact"/>
        <w:rPr>
          <w:sz w:val="20"/>
          <w:szCs w:val="20"/>
          <w:color w:val="auto"/>
        </w:rPr>
      </w:pPr>
    </w:p>
    <w:p>
      <w:pPr>
        <w:ind w:right="560" w:firstLine="324"/>
        <w:spacing w:after="0" w:line="339" w:lineRule="auto"/>
        <w:rPr>
          <w:sz w:val="20"/>
          <w:szCs w:val="20"/>
          <w:color w:val="auto"/>
        </w:rPr>
      </w:pPr>
      <w:r>
        <w:rPr>
          <w:rFonts w:ascii="Times New Roman" w:cs="Times New Roman" w:eastAsia="Times New Roman" w:hAnsi="Times New Roman"/>
          <w:sz w:val="16"/>
          <w:szCs w:val="16"/>
          <w:color w:val="auto"/>
        </w:rPr>
        <w:t>The 29% of accounts receivable generated outside of North America was due from retailers, distributors, nurseries and growers. No concentrations of customers or individual customers within this group account for more than 10% of the Company’s accounts receivable balance at September 30, 2004.</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2004, the Company’s concentrations of credit risk were similar to those existing at September 30, 2003.</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two largest customers accounted for the following percentage of net sales in each respective period:</w:t>
      </w:r>
    </w:p>
    <w:p>
      <w:pPr>
        <w:spacing w:after="0" w:line="200" w:lineRule="exact"/>
        <w:rPr>
          <w:sz w:val="20"/>
          <w:szCs w:val="20"/>
          <w:color w:val="auto"/>
        </w:rPr>
      </w:pP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700" w:type="dxa"/>
            <w:vAlign w:val="bottom"/>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Largest</w:t>
            </w:r>
          </w:p>
        </w:tc>
        <w:tc>
          <w:tcPr>
            <w:tcW w:w="18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2nd Largest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70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8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jc w:val="right"/>
              <w:ind w:right="3292"/>
              <w:spacing w:after="0"/>
              <w:rPr>
                <w:sz w:val="20"/>
                <w:szCs w:val="20"/>
                <w:color w:val="auto"/>
              </w:rPr>
            </w:pPr>
            <w:r>
              <w:rPr>
                <w:rFonts w:ascii="Times New Roman" w:cs="Times New Roman" w:eastAsia="Times New Roman" w:hAnsi="Times New Roman"/>
                <w:sz w:val="18"/>
                <w:szCs w:val="18"/>
                <w:color w:val="auto"/>
                <w:w w:val="88"/>
              </w:rPr>
              <w:t>2004</w:t>
            </w:r>
          </w:p>
        </w:tc>
        <w:tc>
          <w:tcPr>
            <w:tcW w:w="4700" w:type="dxa"/>
            <w:vAlign w:val="bottom"/>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25.9%</w:t>
            </w:r>
          </w:p>
        </w:tc>
        <w:tc>
          <w:tcPr>
            <w:tcW w:w="1840" w:type="dxa"/>
            <w:vAlign w:val="bottom"/>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jc w:val="right"/>
              <w:ind w:right="3292"/>
              <w:spacing w:after="0"/>
              <w:rPr>
                <w:sz w:val="20"/>
                <w:szCs w:val="20"/>
                <w:color w:val="auto"/>
              </w:rPr>
            </w:pPr>
            <w:r>
              <w:rPr>
                <w:rFonts w:ascii="Times New Roman" w:cs="Times New Roman" w:eastAsia="Times New Roman" w:hAnsi="Times New Roman"/>
                <w:sz w:val="18"/>
                <w:szCs w:val="18"/>
                <w:color w:val="auto"/>
                <w:w w:val="88"/>
              </w:rPr>
              <w:t>2003</w:t>
            </w:r>
          </w:p>
        </w:tc>
        <w:tc>
          <w:tcPr>
            <w:tcW w:w="4700" w:type="dxa"/>
            <w:vAlign w:val="bottom"/>
          </w:tcPr>
          <w:p>
            <w:pPr>
              <w:jc w:val="right"/>
              <w:ind w:right="640"/>
              <w:spacing w:after="0"/>
              <w:rPr>
                <w:sz w:val="20"/>
                <w:szCs w:val="20"/>
                <w:color w:val="auto"/>
              </w:rPr>
            </w:pPr>
            <w:r>
              <w:rPr>
                <w:rFonts w:ascii="Times New Roman" w:cs="Times New Roman" w:eastAsia="Times New Roman" w:hAnsi="Times New Roman"/>
                <w:sz w:val="18"/>
                <w:szCs w:val="18"/>
                <w:color w:val="auto"/>
              </w:rPr>
              <w:t>24.8%</w:t>
            </w:r>
          </w:p>
        </w:tc>
        <w:tc>
          <w:tcPr>
            <w:tcW w:w="184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jc w:val="right"/>
              <w:ind w:right="3292"/>
              <w:spacing w:after="0"/>
              <w:rPr>
                <w:sz w:val="20"/>
                <w:szCs w:val="20"/>
                <w:color w:val="auto"/>
              </w:rPr>
            </w:pPr>
            <w:r>
              <w:rPr>
                <w:rFonts w:ascii="Times New Roman" w:cs="Times New Roman" w:eastAsia="Times New Roman" w:hAnsi="Times New Roman"/>
                <w:sz w:val="18"/>
                <w:szCs w:val="18"/>
                <w:color w:val="auto"/>
                <w:w w:val="88"/>
              </w:rPr>
              <w:t>2002</w:t>
            </w:r>
          </w:p>
        </w:tc>
        <w:tc>
          <w:tcPr>
            <w:tcW w:w="4700" w:type="dxa"/>
            <w:vAlign w:val="bottom"/>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25.8%</w:t>
            </w:r>
          </w:p>
        </w:tc>
        <w:tc>
          <w:tcPr>
            <w:tcW w:w="1840" w:type="dxa"/>
            <w:vAlign w:val="bottom"/>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Sales to the Company’s two largest customers are reported within Scotts’ North America segment. No other customers accounted for more than 10% of fiscal 2004, 2003 or 2002 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OTHER EXPENSE (INCOME)</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Other expense (income) consisted of the following for the fiscal years ended September 30 (in millions):</w:t>
      </w:r>
    </w:p>
    <w:p>
      <w:pPr>
        <w:spacing w:after="0" w:line="200" w:lineRule="exact"/>
        <w:rPr>
          <w:sz w:val="20"/>
          <w:szCs w:val="20"/>
          <w:color w:val="auto"/>
        </w:rPr>
      </w:pP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85"/>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19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from peat transaction</w:t>
            </w:r>
          </w:p>
        </w:tc>
        <w:tc>
          <w:tcPr>
            <w:tcW w:w="194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19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losses</w:t>
            </w:r>
          </w:p>
        </w:tc>
        <w:tc>
          <w:tcPr>
            <w:tcW w:w="194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net</w:t>
            </w:r>
          </w:p>
        </w:tc>
        <w:tc>
          <w:tcPr>
            <w:tcW w:w="19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780"/>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08"/>
        </w:trPr>
        <w:tc>
          <w:tcPr>
            <w:tcW w:w="4060" w:type="dxa"/>
            <w:vAlign w:val="bottom"/>
            <w:gridSpan w:val="2"/>
          </w:tcPr>
          <w:p>
            <w:pPr>
              <w:spacing w:after="0"/>
              <w:rPr>
                <w:sz w:val="9"/>
                <w:szCs w:val="9"/>
                <w:color w:val="auto"/>
              </w:rPr>
            </w:pPr>
          </w:p>
        </w:tc>
        <w:tc>
          <w:tcPr>
            <w:tcW w:w="19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96"/>
              </w:rPr>
              <w:t>(10.2)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(10.8)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(12.0)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DISCONTINUED OPERATIONS</w:t>
      </w:r>
    </w:p>
    <w:p>
      <w:pPr>
        <w:spacing w:after="0" w:line="254"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On September 30, 2004, the Company consummated the sale of the intangibles comprising its U.S. professional growing media business for $6.0 million. A gain of $4.1 million was recognized after associated goodwill in the amount of $1.9 million was written off. As a result of the sale, the Company shut down a manufacturing facility and severed the associates employed in the business. In accordance with Statement of Financial Accounting Standards No. 144, “Accounting for the Impairment or Disposal Of Long-Lived Assets,” these transactions have been accounted for as the disposal of a component of the Company. The gain on the sale of the intangibles and the result of operations of the component are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131445</wp:posOffset>
            </wp:positionV>
            <wp:extent cx="3860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reported as discontinued operations in the accompanying statements of operations. The detail comprising the discontinued operations is as follows (in millions):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85"/>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4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9"/>
                <w:szCs w:val="19"/>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w w:val="96"/>
              </w:rPr>
              <w:t>(18.9)</w:t>
            </w:r>
          </w:p>
        </w:tc>
        <w:tc>
          <w:tcPr>
            <w:tcW w:w="90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(20.5)</w:t>
            </w:r>
          </w:p>
        </w:tc>
        <w:tc>
          <w:tcPr>
            <w:tcW w:w="6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(23.2)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12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82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VARIABLE INTEREST ENTITIES</w:t>
      </w:r>
    </w:p>
    <w:p>
      <w:pPr>
        <w:spacing w:after="0" w:line="254"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In January 2003, the Financial Accounting Standards Board (FASB) issued FASB Interpretation 46, “Consolidation of Variable Interest Entities, an Interpretation of ARB No. 51” (FIN 46). In December 2003, the FASB modified FIN 46 to make certain technical corrections and address certain implementation issues that had arisen. FIN 46 provides a new framework for identifying variable interest entities (VIEs) and determining when a company should include the assets, liabilities, noncontrolling interests, and results of activities of a VIE in its consolidated financial statements.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general, a VIE is a corporation, partnership, limited liability company, trust, or any other legal structure used to conduct activities or hold assets that either</w:t>
      </w:r>
    </w:p>
    <w:p>
      <w:pPr>
        <w:spacing w:after="0" w:line="44" w:lineRule="exact"/>
        <w:rPr>
          <w:sz w:val="20"/>
          <w:szCs w:val="20"/>
          <w:color w:val="auto"/>
        </w:rPr>
      </w:pPr>
    </w:p>
    <w:p>
      <w:pPr>
        <w:ind w:right="20" w:firstLine="8"/>
        <w:spacing w:after="0" w:line="255" w:lineRule="auto"/>
        <w:tabs>
          <w:tab w:leader="none" w:pos="2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insufficient amount of equity to carry out its principal activities without additional subordinated financial support, (2) has a group of equity owners that are unable to make significant decisions about its activities, or (3) has a group of equity owners that do not have the obligation to absorb losses or the right to receive returns generated by its operations.</w:t>
      </w:r>
    </w:p>
    <w:p>
      <w:pPr>
        <w:spacing w:after="0" w:line="2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FIN 46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 also requires disclosures about VIEs that the variable interest holder is not required to consolidate but in which it has a significant variable interest.</w:t>
      </w:r>
    </w:p>
    <w:p>
      <w:pPr>
        <w:spacing w:after="0" w:line="22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Company’s Scotts LawnService® business sells new franchise territories, primarily in small to mid-size markets, under arrangements where approximately one-third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2004, the Company had approximately $2.5 million in notes receivable from such franchisees. The effect of consolidating the entities where the Company may be the primary beneficiary for a limited period of time is not material to either the consolidated statement of operations or the consolidated balance sheet.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SEGMENT INFORMATION</w:t>
      </w:r>
    </w:p>
    <w:p>
      <w:pPr>
        <w:spacing w:after="0" w:line="254"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For fiscal 2004, the Company is divided into three reportable segments — North America, Scotts LawnService® and International. The North America segment primarily consists of the Lawns, Gardening Products, Ortho®, Canada and North American Professional business groups. These segments differ from those used in the prior year due to the absorption of the Global Professional segment into the North America and International segments based on geography. This new division of reportable segments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130175</wp:posOffset>
            </wp:positionV>
            <wp:extent cx="3860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87" w:name="page88"/>
    <w:bookmarkEnd w:id="87"/>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2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consistent with how the segments report to and are managed by senior management of the Company. The prior year amounts have been reclassified to conform with the fiscal 2004 segments.</w:t>
      </w:r>
    </w:p>
    <w:p>
      <w:pPr>
        <w:spacing w:after="0" w:line="20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North America segment manufactures, markets and sells dry, granular slow-release lawn fertilizers, combination lawn fertilizer and control products, grass seed, spreaders, water-soluble and controlled-release garden and indoor plant foods, plant care products, potting soils, pottery, barks, mulches and other growing media products, pesticide products and a line of horticulture products. Products are marketed to mass merchandisers, home improvement centers, large hardware chains, warehouse clubs, distributors, nurseries, gardens centers and specialty crop growers in the United States, Canada, Latin America and South America.</w:t>
      </w:r>
    </w:p>
    <w:p>
      <w:pPr>
        <w:spacing w:after="0" w:line="22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Scotts LawnService® segment provides lawn fertilization, insect control and other related services such as core aeration primarily to residential consumers through company-owned branches and franchises. In most company operated locations, Scotts LawnService® also offers tree and shrub fertilization, disease and insect control treatments and, in our larger branches, an exterior barrier pest control service.</w:t>
      </w:r>
    </w:p>
    <w:p>
      <w:pPr>
        <w:spacing w:after="0" w:line="213"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International segment provides products similar to those described above for the North America segment to consumers outside of the United States, Canada, Latin America and South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18" w:right="39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5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segment financial information in accordance with Statement of Financial Accounting Standards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North</w:t>
            </w:r>
          </w:p>
        </w:tc>
        <w:tc>
          <w:tcPr>
            <w:tcW w:w="540" w:type="dxa"/>
            <w:vAlign w:val="bottom"/>
          </w:tcPr>
          <w:p>
            <w:pPr>
              <w:spacing w:after="0"/>
              <w:rPr>
                <w:sz w:val="13"/>
                <w:szCs w:val="13"/>
                <w:color w:val="auto"/>
              </w:rPr>
            </w:pPr>
          </w:p>
        </w:tc>
        <w:tc>
          <w:tcPr>
            <w:tcW w:w="108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Scotts</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8"/>
        </w:trPr>
        <w:tc>
          <w:tcPr>
            <w:tcW w:w="20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00" w:type="dxa"/>
            <w:vAlign w:val="bottom"/>
            <w:gridSpan w:val="2"/>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620" w:type="dxa"/>
            <w:vAlign w:val="bottom"/>
            <w:gridSpan w:val="2"/>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LawnService®</w:t>
            </w:r>
          </w:p>
        </w:tc>
        <w:tc>
          <w:tcPr>
            <w:tcW w:w="166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6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5"/>
        </w:trPr>
        <w:tc>
          <w:tcPr>
            <w:tcW w:w="208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r>
        <w:trPr>
          <w:trHeight w:val="30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92"/>
              </w:rPr>
              <w:t>1,483.2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135.2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419.5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2,037.9</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92"/>
              </w:rPr>
              <w:t>1,388.9</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110.4</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388.4</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1,887.7</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92"/>
              </w:rPr>
              <w:t>1,311.9</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75.6</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336.2</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1,723.7</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308.9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(84.9)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261.1</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282.8</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23.9</w:t>
            </w:r>
          </w:p>
        </w:tc>
        <w:tc>
          <w:tcPr>
            <w:tcW w:w="58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(72.7)</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240.2</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277.2</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25.3</w:t>
            </w:r>
          </w:p>
        </w:tc>
        <w:tc>
          <w:tcPr>
            <w:tcW w:w="58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(67.3)</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20.8%</w:t>
            </w:r>
          </w:p>
        </w:tc>
        <w:tc>
          <w:tcPr>
            <w:tcW w:w="540" w:type="dxa"/>
            <w:vAlign w:val="bottom"/>
          </w:tcPr>
          <w:p>
            <w:pPr>
              <w:spacing w:after="0"/>
              <w:rPr>
                <w:sz w:val="18"/>
                <w:szCs w:val="18"/>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20.4%</w:t>
            </w:r>
          </w:p>
        </w:tc>
        <w:tc>
          <w:tcPr>
            <w:tcW w:w="540" w:type="dxa"/>
            <w:vAlign w:val="bottom"/>
          </w:tcPr>
          <w:p>
            <w:pPr>
              <w:spacing w:after="0"/>
              <w:rPr>
                <w:sz w:val="18"/>
                <w:szCs w:val="18"/>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18"/>
                <w:szCs w:val="18"/>
                <w:color w:val="auto"/>
              </w:rPr>
            </w:pP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24.9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12.6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26.2</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20.9</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12.0</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21.4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24.7</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0.8</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13.3</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41.4</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699.6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113.0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304.8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59.5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1,176.9</w:t>
            </w: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753.9</w:t>
            </w:r>
          </w:p>
        </w:tc>
        <w:tc>
          <w:tcPr>
            <w:tcW w:w="540" w:type="dxa"/>
            <w:vAlign w:val="bottom"/>
          </w:tcPr>
          <w:p>
            <w:pPr>
              <w:spacing w:after="0"/>
              <w:rPr>
                <w:sz w:val="18"/>
                <w:szCs w:val="18"/>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106.5</w:t>
            </w:r>
          </w:p>
        </w:tc>
        <w:tc>
          <w:tcPr>
            <w:tcW w:w="6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262.9</w:t>
            </w:r>
          </w:p>
        </w:tc>
        <w:tc>
          <w:tcPr>
            <w:tcW w:w="580" w:type="dxa"/>
            <w:vAlign w:val="bottom"/>
          </w:tcPr>
          <w:p>
            <w:pPr>
              <w:spacing w:after="0"/>
              <w:rPr>
                <w:sz w:val="18"/>
                <w:szCs w:val="18"/>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50.4</w:t>
            </w:r>
          </w:p>
        </w:tc>
        <w:tc>
          <w:tcPr>
            <w:tcW w:w="46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1,173.7</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92"/>
              </w:rPr>
              <w:t>1,251.3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134.5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526.7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3"/>
              </w:rPr>
              <w:t>135.3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2,047.8</w:t>
            </w:r>
          </w:p>
        </w:tc>
      </w:tr>
      <w:tr>
        <w:trPr>
          <w:trHeight w:val="228"/>
        </w:trPr>
        <w:tc>
          <w:tcPr>
            <w:tcW w:w="4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w w:val="92"/>
              </w:rPr>
              <w:t>1,387.1</w:t>
            </w:r>
          </w:p>
        </w:tc>
        <w:tc>
          <w:tcPr>
            <w:tcW w:w="540" w:type="dxa"/>
            <w:vAlign w:val="bottom"/>
          </w:tcPr>
          <w:p>
            <w:pPr>
              <w:spacing w:after="0"/>
              <w:rPr>
                <w:sz w:val="19"/>
                <w:szCs w:val="19"/>
                <w:color w:val="auto"/>
              </w:rPr>
            </w:pPr>
          </w:p>
        </w:tc>
        <w:tc>
          <w:tcPr>
            <w:tcW w:w="10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93"/>
              </w:rPr>
              <w:t>115.5</w:t>
            </w:r>
          </w:p>
        </w:tc>
        <w:tc>
          <w:tcPr>
            <w:tcW w:w="640" w:type="dxa"/>
            <w:vAlign w:val="bottom"/>
          </w:tcPr>
          <w:p>
            <w:pPr>
              <w:spacing w:after="0"/>
              <w:rPr>
                <w:sz w:val="19"/>
                <w:szCs w:val="19"/>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418.1</w:t>
            </w:r>
          </w:p>
        </w:tc>
        <w:tc>
          <w:tcPr>
            <w:tcW w:w="580" w:type="dxa"/>
            <w:vAlign w:val="bottom"/>
          </w:tcPr>
          <w:p>
            <w:pPr>
              <w:spacing w:after="0"/>
              <w:rPr>
                <w:sz w:val="19"/>
                <w:szCs w:val="19"/>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3"/>
              </w:rPr>
              <w:t>109.6</w:t>
            </w:r>
          </w:p>
        </w:tc>
        <w:tc>
          <w:tcPr>
            <w:tcW w:w="46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2"/>
              </w:rPr>
              <w:t>2,030.3</w:t>
            </w:r>
          </w:p>
        </w:tc>
      </w:tr>
      <w:tr>
        <w:trPr>
          <w:trHeight w:val="110"/>
        </w:trPr>
        <w:tc>
          <w:tcPr>
            <w:tcW w:w="208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Operating income (loss) from operations reported for Scotts’ three segments represents earnings before amortization of intangible assets, interest and taxes, since this is the measure of profitability used by management. Accordingly, the Corporate loss from operations for the fiscal years ended September 30, 2004, 2003 and 2002 includes amortization of certain intangible assets, unallocated corporate general and administrative expenses, certain other income/ expense not allocated to the business segments and North America restructuring charges. International restructuring charges of approximately $5.3 million, $9.1 million and $4.5 million are included in International’s income (loss) from operations in fiscal 2004, 2003 and 2002, respectively.</w:t>
      </w:r>
    </w:p>
    <w:p>
      <w:pPr>
        <w:spacing w:after="0" w:line="220" w:lineRule="exact"/>
        <w:rPr>
          <w:sz w:val="20"/>
          <w:szCs w:val="20"/>
          <w:color w:val="auto"/>
        </w:rPr>
      </w:pPr>
    </w:p>
    <w:p>
      <w:pPr>
        <w:ind w:right="600" w:firstLine="324"/>
        <w:spacing w:after="0" w:line="275" w:lineRule="auto"/>
        <w:rPr>
          <w:sz w:val="20"/>
          <w:szCs w:val="20"/>
          <w:color w:val="auto"/>
        </w:rPr>
      </w:pPr>
      <w:r>
        <w:rPr>
          <w:rFonts w:ascii="Times New Roman" w:cs="Times New Roman" w:eastAsia="Times New Roman" w:hAnsi="Times New Roman"/>
          <w:sz w:val="18"/>
          <w:szCs w:val="18"/>
          <w:color w:val="auto"/>
        </w:rPr>
        <w:t>Long-lived assets reported for Scotts’ operating segments include goodwill and intangible assets as well as property, plant and equipment within each segment.</w:t>
      </w:r>
    </w:p>
    <w:p>
      <w:pPr>
        <w:spacing w:after="0" w:line="201" w:lineRule="exact"/>
        <w:rPr>
          <w:sz w:val="20"/>
          <w:szCs w:val="20"/>
          <w:color w:val="auto"/>
        </w:rPr>
      </w:pPr>
    </w:p>
    <w:p>
      <w:pPr>
        <w:ind w:right="660" w:firstLine="324"/>
        <w:spacing w:after="0" w:line="275" w:lineRule="auto"/>
        <w:rPr>
          <w:sz w:val="20"/>
          <w:szCs w:val="20"/>
          <w:color w:val="auto"/>
        </w:rPr>
      </w:pPr>
      <w:r>
        <w:rPr>
          <w:rFonts w:ascii="Times New Roman" w:cs="Times New Roman" w:eastAsia="Times New Roman" w:hAnsi="Times New Roman"/>
          <w:sz w:val="18"/>
          <w:szCs w:val="18"/>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9" w:name="page90"/>
    <w:bookmarkEnd w:id="89"/>
    <w:p>
      <w:pPr>
        <w:ind w:left="288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6"/>
          <w:szCs w:val="16"/>
          <w:b w:val="1"/>
          <w:bCs w:val="1"/>
          <w:color w:val="auto"/>
        </w:rPr>
        <w:t>QUARTERLY CONSOLIDATED FINANCIAL INFORMATION (UNAUDITED)</w:t>
      </w:r>
    </w:p>
    <w:p>
      <w:pPr>
        <w:spacing w:after="0" w:line="2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is a summary of the unaudited quarterly results of operations for fiscal 2004 and 2003 (in millions,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15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4th Qtr</w:t>
            </w: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FISCAL 2004</w:t>
            </w: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$181.4</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723.7</w:t>
            </w: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769.2</w:t>
            </w:r>
          </w:p>
        </w:tc>
        <w:tc>
          <w:tcPr>
            <w:tcW w:w="5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$363.6</w:t>
            </w:r>
          </w:p>
        </w:tc>
        <w:tc>
          <w:tcPr>
            <w:tcW w:w="520" w:type="dxa"/>
            <w:vAlign w:val="bottom"/>
          </w:tcPr>
          <w:p>
            <w:pPr>
              <w:spacing w:after="0"/>
              <w:rPr>
                <w:sz w:val="12"/>
                <w:szCs w:val="12"/>
                <w:color w:val="auto"/>
              </w:rPr>
            </w:pPr>
          </w:p>
        </w:tc>
        <w:tc>
          <w:tcPr>
            <w:tcW w:w="5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0"/>
              </w:rPr>
              <w:t>2,037.9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289.6</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307.5</w:t>
            </w:r>
          </w:p>
        </w:tc>
        <w:tc>
          <w:tcPr>
            <w:tcW w:w="5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769.7</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6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100.1</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5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w:t>
            </w:r>
          </w:p>
        </w:tc>
        <w:tc>
          <w:tcPr>
            <w:tcW w:w="480" w:type="dxa"/>
            <w:vAlign w:val="bottom"/>
            <w:shd w:val="clear" w:color="auto" w:fill="EEEEEE"/>
          </w:tcPr>
          <w:p>
            <w:pPr>
              <w:spacing w:after="0"/>
              <w:rPr>
                <w:sz w:val="12"/>
                <w:szCs w:val="12"/>
                <w:color w:val="auto"/>
              </w:rPr>
            </w:pPr>
          </w:p>
        </w:tc>
        <w:tc>
          <w:tcPr>
            <w:tcW w:w="900" w:type="dxa"/>
            <w:vAlign w:val="bottom"/>
            <w:gridSpan w:val="2"/>
            <w:shd w:val="clear" w:color="auto" w:fill="EEEEEE"/>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6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100.1</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5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Basic earnings (loss) per common share</w:t>
            </w: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 (2.21)</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 (0.06)</w:t>
            </w:r>
          </w:p>
        </w:tc>
        <w:tc>
          <w:tcPr>
            <w:tcW w:w="5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w:t>
            </w:r>
          </w:p>
        </w:tc>
        <w:tc>
          <w:tcPr>
            <w:tcW w:w="480" w:type="dxa"/>
            <w:vAlign w:val="bottom"/>
            <w:shd w:val="clear" w:color="auto" w:fill="EEEEEE"/>
          </w:tcPr>
          <w:p>
            <w:pPr>
              <w:spacing w:after="0"/>
              <w:rPr>
                <w:sz w:val="12"/>
                <w:szCs w:val="12"/>
                <w:color w:val="auto"/>
              </w:rPr>
            </w:pPr>
          </w:p>
        </w:tc>
        <w:tc>
          <w:tcPr>
            <w:tcW w:w="900" w:type="dxa"/>
            <w:vAlign w:val="bottom"/>
            <w:gridSpan w:val="2"/>
            <w:shd w:val="clear" w:color="auto" w:fill="EEEEEE"/>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EEEEEE"/>
          </w:tcPr>
          <w:p>
            <w:pPr>
              <w:spacing w:after="0"/>
              <w:rPr>
                <w:sz w:val="12"/>
                <w:szCs w:val="12"/>
                <w:color w:val="auto"/>
              </w:rPr>
            </w:pPr>
          </w:p>
        </w:tc>
        <w:tc>
          <w:tcPr>
            <w:tcW w:w="880" w:type="dxa"/>
            <w:vAlign w:val="bottom"/>
            <w:gridSpan w:val="2"/>
            <w:shd w:val="clear" w:color="auto" w:fill="EEEEEE"/>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 (2.21)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560" w:type="dxa"/>
            <w:vAlign w:val="bottom"/>
          </w:tcPr>
          <w:p>
            <w:pPr>
              <w:spacing w:after="0"/>
              <w:rPr>
                <w:sz w:val="22"/>
                <w:szCs w:val="22"/>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 (0.05)</w:t>
            </w:r>
          </w:p>
        </w:tc>
        <w:tc>
          <w:tcPr>
            <w:tcW w:w="5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Common shares used in basic EPS calculation</w:t>
            </w:r>
          </w:p>
        </w:tc>
        <w:tc>
          <w:tcPr>
            <w:tcW w:w="80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5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 earnings (loss) per common share</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shd w:val="clear" w:color="auto" w:fill="EEEEEE"/>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560" w:type="dxa"/>
            <w:vAlign w:val="bottom"/>
            <w:shd w:val="clear" w:color="auto" w:fill="EEEEEE"/>
          </w:tcPr>
          <w:p>
            <w:pPr>
              <w:spacing w:after="0"/>
              <w:rPr>
                <w:sz w:val="12"/>
                <w:szCs w:val="12"/>
                <w:color w:val="auto"/>
              </w:rPr>
            </w:pPr>
          </w:p>
        </w:tc>
        <w:tc>
          <w:tcPr>
            <w:tcW w:w="1500" w:type="dxa"/>
            <w:vAlign w:val="bottom"/>
            <w:gridSpan w:val="3"/>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from discontinued operations</w:t>
            </w:r>
          </w:p>
        </w:tc>
        <w:tc>
          <w:tcPr>
            <w:tcW w:w="480" w:type="dxa"/>
            <w:vAlign w:val="bottom"/>
          </w:tcPr>
          <w:p>
            <w:pPr>
              <w:spacing w:after="0"/>
              <w:rPr>
                <w:sz w:val="15"/>
                <w:szCs w:val="15"/>
                <w:color w:val="auto"/>
              </w:rPr>
            </w:pP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 earnings (loss) per share</w:t>
            </w:r>
          </w:p>
        </w:tc>
        <w:tc>
          <w:tcPr>
            <w:tcW w:w="1380" w:type="dxa"/>
            <w:vAlign w:val="bottom"/>
            <w:gridSpan w:val="3"/>
            <w:shd w:val="clear" w:color="auto" w:fill="EEEEEE"/>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 (2.21)</w:t>
            </w:r>
          </w:p>
        </w:tc>
        <w:tc>
          <w:tcPr>
            <w:tcW w:w="66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560" w:type="dxa"/>
            <w:vAlign w:val="bottom"/>
            <w:shd w:val="clear" w:color="auto" w:fill="EEEEEE"/>
          </w:tcPr>
          <w:p>
            <w:pPr>
              <w:spacing w:after="0"/>
              <w:rPr>
                <w:sz w:val="12"/>
                <w:szCs w:val="12"/>
                <w:color w:val="auto"/>
              </w:rPr>
            </w:pPr>
          </w:p>
        </w:tc>
        <w:tc>
          <w:tcPr>
            <w:tcW w:w="1500" w:type="dxa"/>
            <w:vAlign w:val="bottom"/>
            <w:gridSpan w:val="3"/>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 (0.05)</w:t>
            </w:r>
          </w:p>
        </w:tc>
        <w:tc>
          <w:tcPr>
            <w:tcW w:w="540" w:type="dxa"/>
            <w:vAlign w:val="bottom"/>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and dilutive potential common shares used in diluted</w:t>
            </w: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41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EPS calculation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5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214630</wp:posOffset>
            </wp:positionV>
            <wp:extent cx="3860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15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4th Qtr</w:t>
            </w:r>
          </w:p>
        </w:tc>
        <w:tc>
          <w:tcPr>
            <w:tcW w:w="12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FISCAL 2003</w:t>
            </w: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667.8</w:t>
            </w: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705.1</w:t>
            </w:r>
          </w:p>
        </w:tc>
        <w:tc>
          <w:tcPr>
            <w:tcW w:w="5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520" w:type="dxa"/>
            <w:vAlign w:val="bottom"/>
          </w:tcPr>
          <w:p>
            <w:pPr>
              <w:spacing w:after="0"/>
              <w:rPr>
                <w:sz w:val="12"/>
                <w:szCs w:val="12"/>
                <w:color w:val="auto"/>
              </w:rPr>
            </w:pPr>
          </w:p>
        </w:tc>
        <w:tc>
          <w:tcPr>
            <w:tcW w:w="5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0"/>
              </w:rPr>
              <w:t>1,887.7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8"/>
              </w:rPr>
              <w:t>257.0</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280.3</w:t>
            </w:r>
          </w:p>
        </w:tc>
        <w:tc>
          <w:tcPr>
            <w:tcW w:w="5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688.9</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6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5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w:t>
            </w:r>
          </w:p>
        </w:tc>
        <w:tc>
          <w:tcPr>
            <w:tcW w:w="80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560" w:type="dxa"/>
            <w:vAlign w:val="bottom"/>
            <w:shd w:val="clear" w:color="auto" w:fill="EEEEEE"/>
          </w:tcPr>
          <w:p>
            <w:pPr>
              <w:spacing w:after="0"/>
              <w:rPr>
                <w:sz w:val="12"/>
                <w:szCs w:val="12"/>
                <w:color w:val="auto"/>
              </w:rPr>
            </w:pPr>
          </w:p>
        </w:tc>
        <w:tc>
          <w:tcPr>
            <w:tcW w:w="1500" w:type="dxa"/>
            <w:vAlign w:val="bottom"/>
            <w:gridSpan w:val="3"/>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6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5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Basic earnings (loss) per common share</w:t>
            </w: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 (1.55)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560" w:type="dxa"/>
            <w:vAlign w:val="bottom"/>
          </w:tcPr>
          <w:p>
            <w:pPr>
              <w:spacing w:after="0"/>
              <w:rPr>
                <w:sz w:val="12"/>
                <w:szCs w:val="12"/>
                <w:color w:val="auto"/>
              </w:rPr>
            </w:pPr>
          </w:p>
        </w:tc>
        <w:tc>
          <w:tcPr>
            <w:tcW w:w="150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 (0.10)</w:t>
            </w:r>
          </w:p>
        </w:tc>
        <w:tc>
          <w:tcPr>
            <w:tcW w:w="5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from discontinued operations</w:t>
            </w:r>
          </w:p>
        </w:tc>
        <w:tc>
          <w:tcPr>
            <w:tcW w:w="4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680" w:type="dxa"/>
            <w:vAlign w:val="bottom"/>
            <w:tcBorders>
              <w:right w:val="single" w:sz="8" w:color="EEEEEE"/>
            </w:tcBorders>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 (1.55)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560" w:type="dxa"/>
            <w:vAlign w:val="bottom"/>
          </w:tcPr>
          <w:p>
            <w:pPr>
              <w:spacing w:after="0"/>
              <w:rPr>
                <w:sz w:val="22"/>
                <w:szCs w:val="22"/>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 (0.10)</w:t>
            </w:r>
          </w:p>
        </w:tc>
        <w:tc>
          <w:tcPr>
            <w:tcW w:w="5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Common shares used in basic EPS calculation</w:t>
            </w:r>
          </w:p>
        </w:tc>
        <w:tc>
          <w:tcPr>
            <w:tcW w:w="80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5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56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5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 earnings (loss) per common share</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80" w:type="dxa"/>
            <w:vAlign w:val="bottom"/>
            <w:gridSpan w:val="3"/>
            <w:shd w:val="clear" w:color="auto" w:fill="EEEEEE"/>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 (1.55)</w:t>
            </w:r>
          </w:p>
        </w:tc>
        <w:tc>
          <w:tcPr>
            <w:tcW w:w="66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560" w:type="dxa"/>
            <w:vAlign w:val="bottom"/>
            <w:shd w:val="clear" w:color="auto" w:fill="EEEEEE"/>
          </w:tcPr>
          <w:p>
            <w:pPr>
              <w:spacing w:after="0"/>
              <w:rPr>
                <w:sz w:val="12"/>
                <w:szCs w:val="12"/>
                <w:color w:val="auto"/>
              </w:rPr>
            </w:pPr>
          </w:p>
        </w:tc>
        <w:tc>
          <w:tcPr>
            <w:tcW w:w="1500" w:type="dxa"/>
            <w:vAlign w:val="bottom"/>
            <w:gridSpan w:val="3"/>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 (0.10)</w:t>
            </w:r>
          </w:p>
        </w:tc>
        <w:tc>
          <w:tcPr>
            <w:tcW w:w="540" w:type="dxa"/>
            <w:vAlign w:val="bottom"/>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from discontinued operations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EEEEEE"/>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 earnings (loss) per share</w:t>
            </w:r>
          </w:p>
        </w:tc>
        <w:tc>
          <w:tcPr>
            <w:tcW w:w="1380" w:type="dxa"/>
            <w:vAlign w:val="bottom"/>
            <w:gridSpan w:val="3"/>
            <w:shd w:val="clear" w:color="auto" w:fill="EEEEEE"/>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 (1.55)</w:t>
            </w:r>
          </w:p>
        </w:tc>
        <w:tc>
          <w:tcPr>
            <w:tcW w:w="66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580" w:type="dxa"/>
            <w:vAlign w:val="bottom"/>
            <w:shd w:val="clear" w:color="auto" w:fill="EEEEEE"/>
          </w:tcPr>
          <w:p>
            <w:pPr>
              <w:spacing w:after="0"/>
              <w:rPr>
                <w:sz w:val="12"/>
                <w:szCs w:val="12"/>
                <w:color w:val="auto"/>
              </w:rPr>
            </w:pPr>
          </w:p>
        </w:tc>
        <w:tc>
          <w:tcPr>
            <w:tcW w:w="6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560" w:type="dxa"/>
            <w:vAlign w:val="bottom"/>
            <w:shd w:val="clear" w:color="auto" w:fill="EEEEEE"/>
          </w:tcPr>
          <w:p>
            <w:pPr>
              <w:spacing w:after="0"/>
              <w:rPr>
                <w:sz w:val="12"/>
                <w:szCs w:val="12"/>
                <w:color w:val="auto"/>
              </w:rPr>
            </w:pPr>
          </w:p>
        </w:tc>
        <w:tc>
          <w:tcPr>
            <w:tcW w:w="1500" w:type="dxa"/>
            <w:vAlign w:val="bottom"/>
            <w:gridSpan w:val="3"/>
            <w:shd w:val="clear" w:color="auto" w:fill="EEEEEE"/>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 (0.10)</w:t>
            </w:r>
          </w:p>
        </w:tc>
        <w:tc>
          <w:tcPr>
            <w:tcW w:w="540" w:type="dxa"/>
            <w:vAlign w:val="bottom"/>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and dilutive potential common shares used in diluted</w:t>
            </w: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41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EPS calculation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5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Common stock equivalents, such as stock awards and warrants, are excluded from the diluted loss per share calculation in periods where there is a net loss because their effect is anti-dilutive.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Scotts’ business is highly seasonal with over 73% of sales occurring in the second and third fiscal quarters combined.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FINANCIAL INFORMATION FOR SUBSIDIARY GUARANTORS AND NON-GUARANTORS</w:t>
      </w:r>
    </w:p>
    <w:p>
      <w:pPr>
        <w:spacing w:after="0" w:line="254" w:lineRule="exact"/>
        <w:rPr>
          <w:sz w:val="20"/>
          <w:szCs w:val="20"/>
          <w:color w:val="auto"/>
        </w:rPr>
      </w:pPr>
    </w:p>
    <w:p>
      <w:pPr>
        <w:ind w:right="140" w:firstLine="270"/>
        <w:spacing w:after="0" w:line="256" w:lineRule="auto"/>
        <w:rPr>
          <w:sz w:val="20"/>
          <w:szCs w:val="20"/>
          <w:color w:val="auto"/>
        </w:rPr>
      </w:pPr>
      <w:r>
        <w:rPr>
          <w:rFonts w:ascii="Times New Roman" w:cs="Times New Roman" w:eastAsia="Times New Roman" w:hAnsi="Times New Roman"/>
          <w:sz w:val="18"/>
          <w:szCs w:val="18"/>
          <w:color w:val="auto"/>
        </w:rPr>
        <w:t>The 6 5/8% Senior Subordinated Notes are general obligations of The Scotts Company and are guaranteed by all of the existing wholly-owned, domestic subsidiaries and all future wholly-owned, significant domestic subsidiaries of The Scotts Company. These subsidiary guarantors jointly and severally guarantee The Scotts Company’s obligations under the 6 5/8% Senior Subordinated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220"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The following information presents consolidated Statements of Operations and Statements of Cash Flows for the three years ended September 30, 2004, and Consolidated Balance Sheets as of September 30, 2004 and 2003. Separate audited financial statements of the individual guarantor subsidiaries have not been provided because management does not believe they would be meaningful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127635</wp:posOffset>
            </wp:positionV>
            <wp:extent cx="3860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820" w:type="dxa"/>
            <w:vAlign w:val="bottom"/>
          </w:tcPr>
          <w:p>
            <w:pPr>
              <w:spacing w:after="0"/>
              <w:rPr>
                <w:sz w:val="13"/>
                <w:szCs w:val="13"/>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Non-</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1,032.4</w:t>
            </w:r>
          </w:p>
        </w:tc>
        <w:tc>
          <w:tcPr>
            <w:tcW w:w="4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$543.1</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462.4</w:t>
            </w:r>
          </w:p>
        </w:tc>
        <w:tc>
          <w:tcPr>
            <w:tcW w:w="6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2,037.9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4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321.7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291.9</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1,267.6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46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221.4</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170.1</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Gross commission earned from marketing</w:t>
            </w:r>
          </w:p>
        </w:tc>
        <w:tc>
          <w:tcPr>
            <w:tcW w:w="3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3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marketing fee</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Contribution expenses under marketing</w:t>
            </w:r>
          </w:p>
        </w:tc>
        <w:tc>
          <w:tcPr>
            <w:tcW w:w="3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3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commission earned from marketing</w:t>
            </w: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S,G&amp;A –including lawn service business and</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4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110.1</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(income) loss in non-guarantors</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(107.2)</w:t>
            </w: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allocations</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(27.7)</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5"/>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08"/>
        </w:trPr>
        <w:tc>
          <w:tcPr>
            <w:tcW w:w="3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46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159.6</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18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(107.2)</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Costs related to refinancings</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60" w:type="dxa"/>
            <w:vAlign w:val="bottom"/>
          </w:tcPr>
          <w:p>
            <w:pPr>
              <w:spacing w:after="0"/>
              <w:rPr>
                <w:sz w:val="19"/>
                <w:szCs w:val="19"/>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shd w:val="clear" w:color="auto" w:fill="EEEEEE"/>
          </w:tcPr>
          <w:p>
            <w:pPr>
              <w:spacing w:after="0"/>
              <w:rPr>
                <w:sz w:val="18"/>
                <w:szCs w:val="18"/>
                <w:color w:val="auto"/>
              </w:rPr>
            </w:pPr>
          </w:p>
        </w:tc>
        <w:tc>
          <w:tcPr>
            <w:tcW w:w="180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(107.2)</w:t>
            </w: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Net income (loss) from continuing</w:t>
            </w:r>
          </w:p>
        </w:tc>
        <w:tc>
          <w:tcPr>
            <w:tcW w:w="3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60" w:type="dxa"/>
            <w:vAlign w:val="bottom"/>
            <w:shd w:val="clear" w:color="auto" w:fill="EEEEEE"/>
          </w:tcPr>
          <w:p>
            <w:pPr>
              <w:spacing w:after="0"/>
              <w:rPr>
                <w:sz w:val="20"/>
                <w:szCs w:val="20"/>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EEEEEE"/>
          </w:tcPr>
          <w:p>
            <w:pPr>
              <w:spacing w:after="0"/>
              <w:rPr>
                <w:sz w:val="20"/>
                <w:szCs w:val="20"/>
                <w:color w:val="auto"/>
              </w:rPr>
            </w:pPr>
          </w:p>
        </w:tc>
        <w:tc>
          <w:tcPr>
            <w:tcW w:w="180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(107.2)</w:t>
            </w: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6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EEEEEE"/>
          </w:tcPr>
          <w:p>
            <w:pPr>
              <w:spacing w:after="0"/>
              <w:rPr>
                <w:sz w:val="18"/>
                <w:szCs w:val="18"/>
                <w:color w:val="auto"/>
              </w:rPr>
            </w:pPr>
          </w:p>
        </w:tc>
        <w:tc>
          <w:tcPr>
            <w:tcW w:w="1800" w:type="dxa"/>
            <w:vAlign w:val="bottom"/>
            <w:gridSpan w:val="3"/>
            <w:shd w:val="clear" w:color="auto" w:fill="EEEEEE"/>
          </w:tcPr>
          <w:p>
            <w:pPr>
              <w:jc w:val="right"/>
              <w:ind w:right="600"/>
              <w:spacing w:after="0"/>
              <w:rPr>
                <w:sz w:val="20"/>
                <w:szCs w:val="20"/>
                <w:color w:val="auto"/>
              </w:rPr>
            </w:pPr>
            <w:r>
              <w:rPr>
                <w:rFonts w:ascii="Times New Roman" w:cs="Times New Roman" w:eastAsia="Times New Roman" w:hAnsi="Times New Roman"/>
                <w:sz w:val="18"/>
                <w:szCs w:val="18"/>
                <w:color w:val="auto"/>
              </w:rPr>
              <w:t>$(107.2)</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gridSpan w:val="2"/>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600" w:type="dxa"/>
            <w:vAlign w:val="bottom"/>
            <w:tcBorders>
              <w:bottom w:val="single" w:sz="8" w:color="808080"/>
            </w:tcBorders>
            <w:gridSpan w:val="3"/>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Non-</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107.0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Pr>
          <w:p>
            <w:pPr>
              <w:spacing w:after="0"/>
              <w:rPr>
                <w:sz w:val="18"/>
                <w:szCs w:val="18"/>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$(107.2)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w:t>
            </w:r>
          </w:p>
        </w:tc>
        <w:tc>
          <w:tcPr>
            <w:tcW w:w="3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tcBorders>
              <w:right w:val="single" w:sz="8" w:color="EEEEEE"/>
            </w:tcBorders>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Costs related to refinancings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Equity income in non-guarantors</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w w:val="91"/>
              </w:rPr>
              <w:t>(107.2)</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5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Changes in assets and liabilities, net of acquired</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businesses:</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(17.7)</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w w:val="96"/>
              </w:rPr>
              <w:t>(11.4)</w:t>
            </w: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Accrued taxes and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Restructuring reserves</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available for sale securities</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1"/>
              </w:rPr>
              <w:t>(121.4)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Redemption of available for sale securities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property, plant and equipment</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Investments in acquired businesses, net of cash</w:t>
            </w:r>
          </w:p>
        </w:tc>
        <w:tc>
          <w:tcPr>
            <w:tcW w:w="3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acquired</w:t>
            </w:r>
          </w:p>
        </w:tc>
        <w:tc>
          <w:tcPr>
            <w:tcW w:w="320" w:type="dxa"/>
            <w:vAlign w:val="bottom"/>
            <w:tcBorders>
              <w:right w:val="single" w:sz="8" w:color="EEEEEE"/>
            </w:tcBorders>
            <w:shd w:val="clear" w:color="auto" w:fill="EEEEEE"/>
          </w:tcPr>
          <w:p>
            <w:pPr>
              <w:spacing w:after="0"/>
              <w:rPr>
                <w:sz w:val="20"/>
                <w:szCs w:val="20"/>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EEEEEE"/>
          </w:tcPr>
          <w:p>
            <w:pPr>
              <w:spacing w:after="0"/>
              <w:rPr>
                <w:sz w:val="20"/>
                <w:szCs w:val="20"/>
                <w:color w:val="auto"/>
              </w:rPr>
            </w:pPr>
          </w:p>
        </w:tc>
        <w:tc>
          <w:tcPr>
            <w:tcW w:w="86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seller notes</w:t>
            </w:r>
          </w:p>
        </w:tc>
        <w:tc>
          <w:tcPr>
            <w:tcW w:w="3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9"/>
                <w:szCs w:val="19"/>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(70.2)</w:t>
            </w:r>
          </w:p>
        </w:tc>
        <w:tc>
          <w:tcPr>
            <w:tcW w:w="3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(30.2)</w:t>
            </w:r>
          </w:p>
        </w:tc>
        <w:tc>
          <w:tcPr>
            <w:tcW w:w="5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w w:val="96"/>
              </w:rPr>
              <w:t>(12.4)</w:t>
            </w: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08"/>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1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EEEEEE"/>
          </w:tcPr>
          <w:p>
            <w:pPr>
              <w:ind w:left="240"/>
              <w:spacing w:after="0" w:line="203" w:lineRule="exact"/>
              <w:rPr>
                <w:sz w:val="20"/>
                <w:szCs w:val="20"/>
                <w:color w:val="auto"/>
              </w:rPr>
            </w:pPr>
            <w:r>
              <w:rPr>
                <w:rFonts w:ascii="Times New Roman" w:cs="Times New Roman" w:eastAsia="Times New Roman" w:hAnsi="Times New Roman"/>
                <w:sz w:val="18"/>
                <w:szCs w:val="18"/>
                <w:color w:val="auto"/>
              </w:rPr>
              <w:t>Net borrowings under revolving and bank lines of</w:t>
            </w:r>
          </w:p>
        </w:tc>
        <w:tc>
          <w:tcPr>
            <w:tcW w:w="3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tcBorders>
              <w:right w:val="single" w:sz="8" w:color="EEEEEE"/>
            </w:tcBorders>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loans</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1"/>
              </w:rPr>
              <w:t>(827.5)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Redemption of 8 5/8% Senior Subordinated Notes</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1"/>
              </w:rPr>
              <w:t>(418.0)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Proceeds from issuance of 6 5/8% senior</w:t>
            </w:r>
          </w:p>
        </w:tc>
        <w:tc>
          <w:tcPr>
            <w:tcW w:w="3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subordinated notes</w:t>
            </w:r>
          </w:p>
        </w:tc>
        <w:tc>
          <w:tcPr>
            <w:tcW w:w="320" w:type="dxa"/>
            <w:vAlign w:val="bottom"/>
            <w:tcBorders>
              <w:right w:val="single" w:sz="8" w:color="EEEEEE"/>
            </w:tcBorders>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3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Intercompany financing</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(61.6)</w:t>
            </w: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w w:val="91"/>
              </w:rPr>
              <w:t>(108.0)</w:t>
            </w:r>
          </w:p>
        </w:tc>
        <w:tc>
          <w:tcPr>
            <w:tcW w:w="38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(61.6)</w:t>
            </w: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(49.7)</w:t>
            </w:r>
          </w:p>
        </w:tc>
        <w:tc>
          <w:tcPr>
            <w:tcW w:w="38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5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$ 115.6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505"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80" w:type="dxa"/>
            <w:vAlign w:val="bottom"/>
          </w:tcPr>
          <w:p>
            <w:pPr>
              <w:spacing w:after="0"/>
              <w:rPr>
                <w:sz w:val="13"/>
                <w:szCs w:val="13"/>
                <w:color w:val="auto"/>
              </w:rPr>
            </w:pP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87"/>
              </w:rPr>
              <w:t>Non-</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8"/>
        </w:trPr>
        <w:tc>
          <w:tcPr>
            <w:tcW w:w="3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5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95"/>
        </w:trPr>
        <w:tc>
          <w:tcPr>
            <w:tcW w:w="3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368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w w:val="98"/>
              </w:rPr>
              <w:t>ASSETS</w:t>
            </w: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00" w:type="dxa"/>
            <w:vAlign w:val="bottom"/>
            <w:shd w:val="clear" w:color="auto" w:fill="EEEEEE"/>
          </w:tcPr>
          <w:p>
            <w:pPr>
              <w:spacing w:after="0"/>
              <w:rPr>
                <w:sz w:val="18"/>
                <w:szCs w:val="18"/>
                <w:color w:val="auto"/>
              </w:rPr>
            </w:pPr>
          </w:p>
        </w:tc>
      </w:tr>
      <w:tr>
        <w:trPr>
          <w:trHeight w:val="228"/>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00" w:type="dxa"/>
            <w:vAlign w:val="bottom"/>
          </w:tcPr>
          <w:p>
            <w:pPr>
              <w:spacing w:after="0"/>
              <w:rPr>
                <w:sz w:val="19"/>
                <w:szCs w:val="19"/>
                <w:color w:val="auto"/>
              </w:rPr>
            </w:pPr>
          </w:p>
        </w:tc>
      </w:tr>
      <w:tr>
        <w:trPr>
          <w:trHeight w:val="96"/>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36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242.0</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154.5</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146.2</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1,176.0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(1,176.0)</w:t>
            </w:r>
          </w:p>
        </w:tc>
        <w:tc>
          <w:tcPr>
            <w:tcW w:w="64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Intracompany assets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(394.9)</w:t>
            </w: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3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3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40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1,195.9</w:t>
            </w: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581.3</w:t>
            </w:r>
          </w:p>
        </w:tc>
        <w:tc>
          <w:tcPr>
            <w:tcW w:w="520" w:type="dxa"/>
            <w:vAlign w:val="bottom"/>
          </w:tcPr>
          <w:p>
            <w:pPr>
              <w:spacing w:after="0"/>
              <w:rPr>
                <w:sz w:val="24"/>
                <w:szCs w:val="24"/>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$(1,570.9)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2,047.8</w:t>
            </w:r>
          </w:p>
        </w:tc>
        <w:tc>
          <w:tcPr>
            <w:tcW w:w="500" w:type="dxa"/>
            <w:vAlign w:val="bottom"/>
          </w:tcPr>
          <w:p>
            <w:pPr>
              <w:spacing w:after="0"/>
              <w:rPr>
                <w:sz w:val="24"/>
                <w:szCs w:val="24"/>
                <w:color w:val="auto"/>
              </w:rPr>
            </w:pPr>
          </w:p>
        </w:tc>
      </w:tr>
      <w:tr>
        <w:trPr>
          <w:trHeight w:val="107"/>
        </w:trPr>
        <w:tc>
          <w:tcPr>
            <w:tcW w:w="3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36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r>
      <w:tr>
        <w:trPr>
          <w:trHeight w:val="321"/>
        </w:trPr>
        <w:tc>
          <w:tcPr>
            <w:tcW w:w="3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3680" w:type="dxa"/>
            <w:vAlign w:val="bottom"/>
            <w:shd w:val="clear" w:color="auto" w:fill="EEEEEE"/>
          </w:tcPr>
          <w:p>
            <w:pPr>
              <w:spacing w:after="0"/>
              <w:rPr>
                <w:sz w:val="18"/>
                <w:szCs w:val="18"/>
                <w:color w:val="auto"/>
              </w:rPr>
            </w:pPr>
          </w:p>
        </w:tc>
        <w:tc>
          <w:tcPr>
            <w:tcW w:w="4360" w:type="dxa"/>
            <w:vAlign w:val="bottom"/>
            <w:gridSpan w:val="10"/>
            <w:shd w:val="clear" w:color="auto" w:fill="EEEEEE"/>
          </w:tcPr>
          <w:p>
            <w:pPr>
              <w:jc w:val="center"/>
              <w:ind w:right="300"/>
              <w:spacing w:after="0"/>
              <w:rPr>
                <w:sz w:val="20"/>
                <w:szCs w:val="20"/>
                <w:color w:val="auto"/>
              </w:rPr>
            </w:pPr>
            <w:r>
              <w:rPr>
                <w:rFonts w:ascii="Times New Roman" w:cs="Times New Roman" w:eastAsia="Times New Roman" w:hAnsi="Times New Roman"/>
                <w:sz w:val="18"/>
                <w:szCs w:val="18"/>
                <w:color w:val="auto"/>
                <w:w w:val="97"/>
              </w:rPr>
              <w:t>LIABILITIES AND SHAREHOLDERS’ EQUITY</w:t>
            </w: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500" w:type="dxa"/>
            <w:vAlign w:val="bottom"/>
            <w:shd w:val="clear" w:color="auto" w:fill="EEEEEE"/>
          </w:tcPr>
          <w:p>
            <w:pPr>
              <w:spacing w:after="0"/>
              <w:rPr>
                <w:sz w:val="18"/>
                <w:szCs w:val="18"/>
                <w:color w:val="auto"/>
              </w:rPr>
            </w:pPr>
          </w:p>
        </w:tc>
      </w:tr>
      <w:tr>
        <w:trPr>
          <w:trHeight w:val="228"/>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taxes</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00" w:type="dxa"/>
            <w:vAlign w:val="bottom"/>
          </w:tcPr>
          <w:p>
            <w:pPr>
              <w:spacing w:after="0"/>
              <w:rPr>
                <w:sz w:val="19"/>
                <w:szCs w:val="19"/>
                <w:color w:val="auto"/>
              </w:rPr>
            </w:pPr>
          </w:p>
        </w:tc>
      </w:tr>
      <w:tr>
        <w:trPr>
          <w:trHeight w:val="96"/>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36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162.4</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500" w:type="dxa"/>
            <w:vAlign w:val="bottom"/>
            <w:shd w:val="clear" w:color="auto" w:fill="EEEEEE"/>
          </w:tcPr>
          <w:p>
            <w:pPr>
              <w:spacing w:after="0"/>
              <w:rPr>
                <w:sz w:val="18"/>
                <w:szCs w:val="18"/>
                <w:color w:val="auto"/>
              </w:rPr>
            </w:pP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Intracompany liabilities</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364.9</w:t>
            </w:r>
          </w:p>
        </w:tc>
        <w:tc>
          <w:tcPr>
            <w:tcW w:w="52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(394.9)</w:t>
            </w:r>
          </w:p>
        </w:tc>
        <w:tc>
          <w:tcPr>
            <w:tcW w:w="64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36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543.1</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(394.9)</w:t>
            </w: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1,173.2</w:t>
            </w:r>
          </w:p>
        </w:tc>
        <w:tc>
          <w:tcPr>
            <w:tcW w:w="500" w:type="dxa"/>
            <w:vAlign w:val="bottom"/>
            <w:shd w:val="clear" w:color="auto" w:fill="EEEEEE"/>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Investment from parent</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(580.3)</w:t>
            </w: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36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Common shares, no par value per share,</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$.01 stated value per share, issued</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3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32.8 shares in 2004</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19"/>
                <w:szCs w:val="19"/>
                <w:color w:val="auto"/>
              </w:rPr>
            </w:pPr>
          </w:p>
        </w:tc>
      </w:tr>
      <w:tr>
        <w:trPr>
          <w:trHeight w:val="217"/>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Deferred compensation — stock awards</w:t>
            </w:r>
          </w:p>
        </w:tc>
        <w:tc>
          <w:tcPr>
            <w:tcW w:w="4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in excess of stated value</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500" w:type="dxa"/>
            <w:vAlign w:val="bottom"/>
          </w:tcPr>
          <w:p>
            <w:pPr>
              <w:spacing w:after="0"/>
              <w:rPr>
                <w:sz w:val="18"/>
                <w:szCs w:val="18"/>
                <w:color w:val="auto"/>
              </w:rPr>
            </w:pPr>
          </w:p>
        </w:tc>
      </w:tr>
      <w:tr>
        <w:trPr>
          <w:trHeight w:val="216"/>
        </w:trPr>
        <w:tc>
          <w:tcPr>
            <w:tcW w:w="36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(624.8)</w:t>
            </w: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500" w:type="dxa"/>
            <w:vAlign w:val="bottom"/>
            <w:shd w:val="clear" w:color="auto" w:fill="EEEEEE"/>
          </w:tcPr>
          <w:p>
            <w:pPr>
              <w:spacing w:after="0"/>
              <w:rPr>
                <w:sz w:val="18"/>
                <w:szCs w:val="18"/>
                <w:color w:val="auto"/>
              </w:rPr>
            </w:pP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(57.8)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(57.8)</w:t>
            </w:r>
          </w:p>
        </w:tc>
      </w:tr>
      <w:tr>
        <w:trPr>
          <w:trHeight w:val="96"/>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102"/>
        </w:trPr>
        <w:tc>
          <w:tcPr>
            <w:tcW w:w="3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36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1,137.8</w:t>
            </w:r>
          </w:p>
        </w:tc>
        <w:tc>
          <w:tcPr>
            <w:tcW w:w="4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(1,176.0)</w:t>
            </w:r>
          </w:p>
        </w:tc>
        <w:tc>
          <w:tcPr>
            <w:tcW w:w="6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500" w:type="dxa"/>
            <w:vAlign w:val="bottom"/>
            <w:shd w:val="clear" w:color="auto" w:fill="EEEEEE"/>
          </w:tcPr>
          <w:p>
            <w:pPr>
              <w:spacing w:after="0"/>
              <w:rPr>
                <w:sz w:val="18"/>
                <w:szCs w:val="18"/>
                <w:color w:val="auto"/>
              </w:rPr>
            </w:pPr>
          </w:p>
        </w:tc>
      </w:tr>
      <w:tr>
        <w:trPr>
          <w:trHeight w:val="108"/>
        </w:trPr>
        <w:tc>
          <w:tcPr>
            <w:tcW w:w="3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40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1,195.9</w:t>
            </w: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581.3</w:t>
            </w:r>
          </w:p>
        </w:tc>
        <w:tc>
          <w:tcPr>
            <w:tcW w:w="520" w:type="dxa"/>
            <w:vAlign w:val="bottom"/>
          </w:tcPr>
          <w:p>
            <w:pPr>
              <w:spacing w:after="0"/>
              <w:rPr>
                <w:sz w:val="24"/>
                <w:szCs w:val="24"/>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$(1,570.9)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2,047.8</w:t>
            </w:r>
          </w:p>
        </w:tc>
        <w:tc>
          <w:tcPr>
            <w:tcW w:w="500" w:type="dxa"/>
            <w:vAlign w:val="bottom"/>
          </w:tcPr>
          <w:p>
            <w:pPr>
              <w:spacing w:after="0"/>
              <w:rPr>
                <w:sz w:val="24"/>
                <w:szCs w:val="24"/>
                <w:color w:val="auto"/>
              </w:rPr>
            </w:pPr>
          </w:p>
        </w:tc>
      </w:tr>
      <w:tr>
        <w:trPr>
          <w:trHeight w:val="107"/>
        </w:trPr>
        <w:tc>
          <w:tcPr>
            <w:tcW w:w="3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36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r>
      <w:tr>
        <w:trPr>
          <w:trHeight w:val="213"/>
        </w:trPr>
        <w:tc>
          <w:tcPr>
            <w:tcW w:w="3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16"/>
        </w:trPr>
        <w:tc>
          <w:tcPr>
            <w:tcW w:w="3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92</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8"/>
        </w:trPr>
        <w:tc>
          <w:tcPr>
            <w:tcW w:w="3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840" w:type="dxa"/>
            <w:vAlign w:val="bottom"/>
          </w:tcPr>
          <w:p>
            <w:pPr>
              <w:spacing w:after="0"/>
              <w:rPr>
                <w:sz w:val="13"/>
                <w:szCs w:val="13"/>
                <w:color w:val="auto"/>
              </w:rPr>
            </w:pP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78"/>
              </w:rPr>
              <w:t>504.1</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421.6</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1,887.7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304.6</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273.0</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1,189.7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199.5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144.7</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Gross commission earned from marketing</w:t>
            </w:r>
          </w:p>
        </w:tc>
        <w:tc>
          <w:tcPr>
            <w:tcW w:w="4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20" w:type="dxa"/>
            <w:vAlign w:val="bottom"/>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marketing fee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Contribution expenses under marketing</w:t>
            </w:r>
          </w:p>
        </w:tc>
        <w:tc>
          <w:tcPr>
            <w:tcW w:w="42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commission earned from marketing</w:t>
            </w: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(income) loss in non-guarantors</w:t>
            </w:r>
          </w:p>
        </w:tc>
        <w:tc>
          <w:tcPr>
            <w:tcW w:w="1240" w:type="dxa"/>
            <w:vAlign w:val="bottom"/>
            <w:gridSpan w:val="3"/>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(97.0)</w:t>
            </w: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allocations</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(18.8)</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gridSpan w:val="3"/>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(3.5)</w:t>
            </w: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08"/>
        </w:trPr>
        <w:tc>
          <w:tcPr>
            <w:tcW w:w="35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141.5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tcPr>
          <w:p>
            <w:pPr>
              <w:spacing w:after="0"/>
              <w:rPr>
                <w:sz w:val="24"/>
                <w:szCs w:val="24"/>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w w:val="87"/>
              </w:rPr>
              <w:t>(15.4)</w:t>
            </w: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156.9</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 (income)</w:t>
            </w: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4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4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$(97.0)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Borders>
              <w:bottom w:val="single" w:sz="8" w:color="808080"/>
            </w:tcBorders>
            <w:gridSpan w:val="2"/>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Subsidiary</w:t>
            </w:r>
          </w:p>
        </w:tc>
        <w:tc>
          <w:tcPr>
            <w:tcW w:w="600" w:type="dxa"/>
            <w:vAlign w:val="bottom"/>
          </w:tcPr>
          <w:p>
            <w:pPr>
              <w:spacing w:after="0"/>
              <w:rPr>
                <w:sz w:val="13"/>
                <w:szCs w:val="13"/>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Non-</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1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1"/>
              </w:rPr>
              <w:t>Guarantors</w:t>
            </w: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7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CASH FLOWS FROM OPERATING</w:t>
            </w: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17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$(97.0)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$ 103.8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EEEEEE"/>
          </w:tcPr>
          <w:p>
            <w:pPr>
              <w:ind w:left="26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w:t>
            </w: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Depreciation</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Deferred taxes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EEEEEE"/>
          </w:tcPr>
          <w:p>
            <w:pPr>
              <w:ind w:left="520"/>
              <w:spacing w:after="0" w:line="201" w:lineRule="exact"/>
              <w:rPr>
                <w:sz w:val="20"/>
                <w:szCs w:val="20"/>
                <w:color w:val="auto"/>
              </w:rPr>
            </w:pPr>
            <w:r>
              <w:rPr>
                <w:rFonts w:ascii="Times New Roman" w:cs="Times New Roman" w:eastAsia="Times New Roman" w:hAnsi="Times New Roman"/>
                <w:sz w:val="18"/>
                <w:szCs w:val="18"/>
                <w:color w:val="auto"/>
              </w:rPr>
              <w:t>Changes in assets and liabilities, net of</w:t>
            </w: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rPr>
              <w:t>acquired businesses:</w:t>
            </w: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1"/>
              </w:rPr>
              <w:t>(12.7)</w:t>
            </w:r>
          </w:p>
        </w:tc>
        <w:tc>
          <w:tcPr>
            <w:tcW w:w="6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Accrued taxes and liabilities</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(2.2)</w:t>
            </w: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Restructuring reserves</w:t>
            </w:r>
          </w:p>
        </w:tc>
        <w:tc>
          <w:tcPr>
            <w:tcW w:w="156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w w:val="91"/>
              </w:rPr>
              <w:t>(10.8)</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INVESTING</w:t>
            </w: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Investment in property, plant and equipment</w:t>
            </w:r>
          </w:p>
        </w:tc>
        <w:tc>
          <w:tcPr>
            <w:tcW w:w="156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w w:val="91"/>
              </w:rPr>
              <w:t>(20.0)</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w w:val="91"/>
              </w:rPr>
              <w:t>(12.5)</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Investments in acquired businesses, net of cash</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acquired</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9"/>
                <w:szCs w:val="19"/>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1"/>
              </w:rPr>
              <w:t>(16.6)</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Payments on seller notes</w:t>
            </w:r>
          </w:p>
        </w:tc>
        <w:tc>
          <w:tcPr>
            <w:tcW w:w="156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w w:val="91"/>
              </w:rPr>
              <w:t>(10.4)</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w w:val="91"/>
              </w:rPr>
              <w:t>(14.8)</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08"/>
        </w:trPr>
        <w:tc>
          <w:tcPr>
            <w:tcW w:w="38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24"/>
                <w:szCs w:val="24"/>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1"/>
              </w:rPr>
              <w:t>(47.0)</w:t>
            </w:r>
          </w:p>
        </w:tc>
        <w:tc>
          <w:tcPr>
            <w:tcW w:w="600" w:type="dxa"/>
            <w:vAlign w:val="bottom"/>
          </w:tcPr>
          <w:p>
            <w:pPr>
              <w:spacing w:after="0"/>
              <w:rPr>
                <w:sz w:val="24"/>
                <w:szCs w:val="24"/>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1"/>
              </w:rPr>
              <w:t>(27.3)</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CASH FLOWS FROM FINANCING</w:t>
            </w:r>
          </w:p>
        </w:tc>
        <w:tc>
          <w:tcPr>
            <w:tcW w:w="3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8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Net repayments under revolving and bank lines</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credit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1"/>
              </w:rPr>
              <w:t>(17.6)</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repayments under term loans</w:t>
            </w:r>
          </w:p>
        </w:tc>
        <w:tc>
          <w:tcPr>
            <w:tcW w:w="156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w w:val="91"/>
              </w:rPr>
              <w:t>(44.4)</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15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Intercompany financing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1"/>
              </w:rPr>
              <w:t>(53.6)</w:t>
            </w: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w w:val="91"/>
              </w:rPr>
              <w:t>(53.6)</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w w:val="91"/>
              </w:rPr>
              <w:t>(20.4)</w:t>
            </w:r>
          </w:p>
        </w:tc>
        <w:tc>
          <w:tcPr>
            <w:tcW w:w="6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5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$ 155.9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94</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80" w:type="dxa"/>
            <w:vAlign w:val="bottom"/>
          </w:tcPr>
          <w:p>
            <w:pPr>
              <w:spacing w:after="0"/>
              <w:rPr>
                <w:sz w:val="13"/>
                <w:szCs w:val="13"/>
                <w:color w:val="auto"/>
              </w:rPr>
            </w:pPr>
          </w:p>
        </w:tc>
        <w:tc>
          <w:tcPr>
            <w:tcW w:w="11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7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center"/>
              <w:ind w:right="200"/>
              <w:spacing w:after="0"/>
              <w:rPr>
                <w:sz w:val="20"/>
                <w:szCs w:val="20"/>
                <w:color w:val="auto"/>
              </w:rPr>
            </w:pPr>
            <w:r>
              <w:rPr>
                <w:rFonts w:ascii="Times New Roman" w:cs="Times New Roman" w:eastAsia="Times New Roman" w:hAnsi="Times New Roman"/>
                <w:sz w:val="18"/>
                <w:szCs w:val="18"/>
                <w:color w:val="auto"/>
                <w:w w:val="98"/>
              </w:rPr>
              <w:t>ASSETS</w:t>
            </w: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205.6</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141.4</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1,066.3</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(1,066.3)</w:t>
            </w: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Intracompany assets</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(275.2)</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1,796.2</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1,098.4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477.2</w:t>
            </w:r>
          </w:p>
        </w:tc>
        <w:tc>
          <w:tcPr>
            <w:tcW w:w="68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$(1,341.5)</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2,030.3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980" w:type="dxa"/>
            <w:vAlign w:val="bottom"/>
            <w:gridSpan w:val="2"/>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80" w:type="dxa"/>
            <w:vAlign w:val="bottom"/>
            <w:gridSpan w:val="10"/>
          </w:tcPr>
          <w:p>
            <w:pPr>
              <w:jc w:val="center"/>
              <w:ind w:right="280"/>
              <w:spacing w:after="0"/>
              <w:rPr>
                <w:sz w:val="20"/>
                <w:szCs w:val="20"/>
                <w:color w:val="auto"/>
              </w:rPr>
            </w:pPr>
            <w:r>
              <w:rPr>
                <w:rFonts w:ascii="Times New Roman" w:cs="Times New Roman" w:eastAsia="Times New Roman" w:hAnsi="Times New Roman"/>
                <w:sz w:val="18"/>
                <w:szCs w:val="18"/>
                <w:color w:val="auto"/>
                <w:w w:val="97"/>
              </w:rPr>
              <w:t>LIABILITIES AND SHAREHOLDERS’ EQUITY</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60" w:type="dxa"/>
            <w:vAlign w:val="bottom"/>
          </w:tcPr>
          <w:p>
            <w:pPr>
              <w:spacing w:after="0"/>
              <w:rPr>
                <w:sz w:val="18"/>
                <w:szCs w:val="18"/>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Accrued taxes</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(0.4)</w:t>
            </w: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155.3</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Intracompany liabilities</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176.1</w:t>
            </w:r>
          </w:p>
        </w:tc>
        <w:tc>
          <w:tcPr>
            <w:tcW w:w="68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(275.2)</w:t>
            </w: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1,068.0</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434.6</w:t>
            </w:r>
          </w:p>
        </w:tc>
        <w:tc>
          <w:tcPr>
            <w:tcW w:w="680" w:type="dxa"/>
            <w:vAlign w:val="bottom"/>
          </w:tcPr>
          <w:p>
            <w:pPr>
              <w:spacing w:after="0"/>
              <w:rPr>
                <w:sz w:val="24"/>
                <w:szCs w:val="24"/>
                <w:color w:val="auto"/>
              </w:rPr>
            </w:pPr>
          </w:p>
        </w:tc>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(275.2)</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1,302.1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from parent</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680" w:type="dxa"/>
            <w:vAlign w:val="bottom"/>
          </w:tcPr>
          <w:p>
            <w:pPr>
              <w:spacing w:after="0"/>
              <w:rPr>
                <w:sz w:val="18"/>
                <w:szCs w:val="18"/>
                <w:color w:val="auto"/>
              </w:rPr>
            </w:pPr>
          </w:p>
        </w:tc>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(576.0)</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no par value per share,</w:t>
            </w:r>
          </w:p>
        </w:tc>
        <w:tc>
          <w:tcPr>
            <w:tcW w:w="38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$.01 stated value per share, issued</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32.0 shares in 2003</w:t>
            </w:r>
          </w:p>
        </w:tc>
        <w:tc>
          <w:tcPr>
            <w:tcW w:w="38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420" w:type="dxa"/>
            <w:vAlign w:val="bottom"/>
            <w:tcBorders>
              <w:right w:val="single" w:sz="8" w:color="EEEEEE"/>
            </w:tcBorders>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 — stock awards</w:t>
            </w:r>
          </w:p>
        </w:tc>
        <w:tc>
          <w:tcPr>
            <w:tcW w:w="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Capital in excess of stated value</w:t>
            </w:r>
          </w:p>
        </w:tc>
        <w:tc>
          <w:tcPr>
            <w:tcW w:w="3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Pr>
          <w:p>
            <w:pPr>
              <w:spacing w:after="0"/>
              <w:rPr>
                <w:sz w:val="18"/>
                <w:szCs w:val="18"/>
                <w:color w:val="auto"/>
              </w:rPr>
            </w:pPr>
          </w:p>
        </w:tc>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(517.6)</w:t>
            </w: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EEEEEE"/>
          </w:tcPr>
          <w:p>
            <w:pPr>
              <w:ind w:left="500"/>
              <w:spacing w:after="0" w:line="201" w:lineRule="exact"/>
              <w:rPr>
                <w:sz w:val="20"/>
                <w:szCs w:val="20"/>
                <w:color w:val="auto"/>
              </w:rPr>
            </w:pPr>
            <w:r>
              <w:rPr>
                <w:rFonts w:ascii="Times New Roman" w:cs="Times New Roman" w:eastAsia="Times New Roman" w:hAnsi="Times New Roman"/>
                <w:sz w:val="18"/>
                <w:szCs w:val="18"/>
                <w:color w:val="auto"/>
              </w:rPr>
              <w:t>Accumulated other comprehensive</w:t>
            </w:r>
          </w:p>
        </w:tc>
        <w:tc>
          <w:tcPr>
            <w:tcW w:w="38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EEEEEE"/>
          </w:tcPr>
          <w:p>
            <w:pPr>
              <w:ind w:left="640"/>
              <w:spacing w:after="0"/>
              <w:rPr>
                <w:sz w:val="20"/>
                <w:szCs w:val="20"/>
                <w:color w:val="auto"/>
              </w:rPr>
            </w:pPr>
            <w:r>
              <w:rPr>
                <w:rFonts w:ascii="Times New Roman" w:cs="Times New Roman" w:eastAsia="Times New Roman" w:hAnsi="Times New Roman"/>
                <w:sz w:val="18"/>
                <w:szCs w:val="18"/>
                <w:color w:val="auto"/>
              </w:rPr>
              <w:t>income (loss)</w:t>
            </w:r>
          </w:p>
        </w:tc>
        <w:tc>
          <w:tcPr>
            <w:tcW w:w="38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420"/>
              <w:spacing w:after="0"/>
              <w:rPr>
                <w:sz w:val="20"/>
                <w:szCs w:val="20"/>
                <w:color w:val="auto"/>
              </w:rPr>
            </w:pPr>
            <w:r>
              <w:rPr>
                <w:rFonts w:ascii="Times New Roman" w:cs="Times New Roman" w:eastAsia="Times New Roman" w:hAnsi="Times New Roman"/>
                <w:sz w:val="18"/>
                <w:szCs w:val="18"/>
                <w:color w:val="auto"/>
              </w:rPr>
              <w:t>(60.8)</w:t>
            </w:r>
          </w:p>
        </w:tc>
        <w:tc>
          <w:tcPr>
            <w:tcW w:w="520" w:type="dxa"/>
            <w:vAlign w:val="bottom"/>
            <w:shd w:val="clear" w:color="auto" w:fill="EEEEEE"/>
          </w:tcPr>
          <w:p>
            <w:pPr>
              <w:spacing w:after="0"/>
              <w:rPr>
                <w:sz w:val="20"/>
                <w:szCs w:val="20"/>
                <w:color w:val="auto"/>
              </w:rPr>
            </w:pPr>
          </w:p>
        </w:tc>
        <w:tc>
          <w:tcPr>
            <w:tcW w:w="74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(25.5)</w:t>
            </w:r>
          </w:p>
        </w:tc>
        <w:tc>
          <w:tcPr>
            <w:tcW w:w="11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1,023.7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80" w:type="dxa"/>
            <w:vAlign w:val="bottom"/>
          </w:tcPr>
          <w:p>
            <w:pPr>
              <w:spacing w:after="0"/>
              <w:rPr>
                <w:sz w:val="24"/>
                <w:szCs w:val="24"/>
                <w:color w:val="auto"/>
              </w:rPr>
            </w:pPr>
          </w:p>
        </w:tc>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(1,066.3)</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1,796.2</w:t>
            </w: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1,098.4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477.2</w:t>
            </w:r>
          </w:p>
        </w:tc>
        <w:tc>
          <w:tcPr>
            <w:tcW w:w="68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$(1,341.5)</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2,030.3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840" w:type="dxa"/>
            <w:vAlign w:val="bottom"/>
          </w:tcPr>
          <w:p>
            <w:pPr>
              <w:spacing w:after="0"/>
              <w:rPr>
                <w:sz w:val="13"/>
                <w:szCs w:val="13"/>
                <w:color w:val="auto"/>
              </w:rPr>
            </w:pP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899.4</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78"/>
              </w:rPr>
              <w:t>423.5</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1,723.7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611.0</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207.2</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1,088.8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286.9</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216.3</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shd w:val="clear" w:color="auto" w:fill="EEEEEE"/>
          </w:tcPr>
          <w:p>
            <w:pPr>
              <w:spacing w:after="0" w:line="204" w:lineRule="exact"/>
              <w:rPr>
                <w:sz w:val="20"/>
                <w:szCs w:val="20"/>
                <w:color w:val="auto"/>
              </w:rPr>
            </w:pPr>
            <w:r>
              <w:rPr>
                <w:rFonts w:ascii="Times New Roman" w:cs="Times New Roman" w:eastAsia="Times New Roman" w:hAnsi="Times New Roman"/>
                <w:sz w:val="18"/>
                <w:szCs w:val="18"/>
                <w:color w:val="auto"/>
              </w:rPr>
              <w:t>Gross commission earned from marketing</w:t>
            </w:r>
          </w:p>
        </w:tc>
        <w:tc>
          <w:tcPr>
            <w:tcW w:w="40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400" w:type="dxa"/>
            <w:vAlign w:val="bottom"/>
            <w:tcBorders>
              <w:right w:val="single" w:sz="8" w:color="EEEEEE"/>
            </w:tcBorders>
            <w:shd w:val="clear" w:color="auto" w:fill="EEEEEE"/>
          </w:tcPr>
          <w:p>
            <w:pPr>
              <w:spacing w:after="0"/>
              <w:rPr>
                <w:sz w:val="20"/>
                <w:szCs w:val="20"/>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marketing fee</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Contribution expenses under marketing</w:t>
            </w:r>
          </w:p>
        </w:tc>
        <w:tc>
          <w:tcPr>
            <w:tcW w:w="40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5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400" w:type="dxa"/>
            <w:vAlign w:val="bottom"/>
            <w:tcBorders>
              <w:right w:val="single" w:sz="8" w:color="EEEEEE"/>
            </w:tcBorders>
            <w:shd w:val="clear" w:color="auto" w:fill="EEEEEE"/>
          </w:tcPr>
          <w:p>
            <w:pPr>
              <w:spacing w:after="0"/>
              <w:rPr>
                <w:sz w:val="20"/>
                <w:szCs w:val="20"/>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EEEEEE"/>
          </w:tcPr>
          <w:p>
            <w:pPr>
              <w:spacing w:after="0"/>
              <w:rPr>
                <w:sz w:val="20"/>
                <w:szCs w:val="20"/>
                <w:color w:val="auto"/>
              </w:rPr>
            </w:pPr>
          </w:p>
        </w:tc>
        <w:tc>
          <w:tcPr>
            <w:tcW w:w="640" w:type="dxa"/>
            <w:vAlign w:val="bottom"/>
            <w:tcBorders>
              <w:righ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commission earned from marketing</w:t>
            </w: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5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198.0</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Equity (income) loss in subsidiaries</w:t>
            </w:r>
          </w:p>
        </w:tc>
        <w:tc>
          <w:tcPr>
            <w:tcW w:w="4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(70.1)</w:t>
            </w: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allocations</w:t>
            </w:r>
          </w:p>
        </w:tc>
        <w:tc>
          <w:tcPr>
            <w:tcW w:w="4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86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08"/>
        </w:trPr>
        <w:tc>
          <w:tcPr>
            <w:tcW w:w="35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146.3</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142.1</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0" w:type="dxa"/>
            <w:vAlign w:val="bottom"/>
          </w:tcPr>
          <w:p>
            <w:pPr>
              <w:spacing w:after="0"/>
              <w:rPr>
                <w:sz w:val="24"/>
                <w:szCs w:val="24"/>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(70.1)</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w w:val="87"/>
              </w:rPr>
              <w:t>(14.3)</w:t>
            </w: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156.4</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spacing w:after="0"/>
              <w:rPr>
                <w:sz w:val="24"/>
                <w:szCs w:val="24"/>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(70.1)</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Pr>
          <w:p>
            <w:pPr>
              <w:spacing w:after="0"/>
              <w:rPr>
                <w:sz w:val="24"/>
                <w:szCs w:val="24"/>
                <w:color w:val="auto"/>
              </w:rPr>
            </w:pPr>
          </w:p>
        </w:tc>
        <w:tc>
          <w:tcPr>
            <w:tcW w:w="17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(70.1)</w:t>
            </w:r>
          </w:p>
        </w:tc>
        <w:tc>
          <w:tcPr>
            <w:tcW w:w="7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 of tax</w:t>
            </w: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2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 (24.9)</w:t>
            </w:r>
          </w:p>
        </w:tc>
        <w:tc>
          <w:tcPr>
            <w:tcW w:w="178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$(70.1)</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Borders>
              <w:bottom w:val="single" w:sz="8" w:color="808080"/>
            </w:tcBorders>
            <w:gridSpan w:val="2"/>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80" w:type="dxa"/>
            <w:vAlign w:val="bottom"/>
          </w:tcPr>
          <w:p>
            <w:pPr>
              <w:spacing w:after="0"/>
              <w:rPr>
                <w:sz w:val="13"/>
                <w:szCs w:val="13"/>
                <w:color w:val="auto"/>
              </w:rPr>
            </w:pP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5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(24.9)</w:t>
            </w:r>
          </w:p>
        </w:tc>
        <w:tc>
          <w:tcPr>
            <w:tcW w:w="1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$(70.1)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EEEEEE"/>
          </w:tcPr>
          <w:p>
            <w:pPr>
              <w:ind w:left="26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520"/>
              <w:spacing w:after="0" w:line="201" w:lineRule="exact"/>
              <w:rPr>
                <w:sz w:val="20"/>
                <w:szCs w:val="20"/>
                <w:color w:val="auto"/>
              </w:rPr>
            </w:pPr>
            <w:r>
              <w:rPr>
                <w:rFonts w:ascii="Times New Roman" w:cs="Times New Roman" w:eastAsia="Times New Roman" w:hAnsi="Times New Roman"/>
                <w:sz w:val="18"/>
                <w:szCs w:val="18"/>
                <w:color w:val="auto"/>
              </w:rPr>
              <w:t>Cumulative effect of change in accounting for</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pre-tax</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Equity income in subsidiaries</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EEEEEE"/>
          </w:tcPr>
          <w:p>
            <w:pPr>
              <w:ind w:left="800"/>
              <w:spacing w:after="0" w:line="201" w:lineRule="exact"/>
              <w:rPr>
                <w:sz w:val="20"/>
                <w:szCs w:val="20"/>
                <w:color w:val="auto"/>
              </w:rPr>
            </w:pPr>
            <w:r>
              <w:rPr>
                <w:rFonts w:ascii="Times New Roman" w:cs="Times New Roman" w:eastAsia="Times New Roman" w:hAnsi="Times New Roman"/>
                <w:sz w:val="18"/>
                <w:szCs w:val="18"/>
                <w:color w:val="auto"/>
              </w:rPr>
              <w:t>Changes in assets and liabilities, net of</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940"/>
              <w:spacing w:after="0"/>
              <w:rPr>
                <w:sz w:val="20"/>
                <w:szCs w:val="20"/>
                <w:color w:val="auto"/>
              </w:rPr>
            </w:pPr>
            <w:r>
              <w:rPr>
                <w:rFonts w:ascii="Times New Roman" w:cs="Times New Roman" w:eastAsia="Times New Roman" w:hAnsi="Times New Roman"/>
                <w:sz w:val="18"/>
                <w:szCs w:val="18"/>
                <w:color w:val="auto"/>
              </w:rPr>
              <w:t>acquired businesses:</w:t>
            </w:r>
          </w:p>
        </w:tc>
        <w:tc>
          <w:tcPr>
            <w:tcW w:w="30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1"/>
              </w:rPr>
              <w:t>(27.3)</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Accrued taxes and liabilities</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800"/>
              <w:spacing w:after="0"/>
              <w:rPr>
                <w:sz w:val="20"/>
                <w:szCs w:val="20"/>
                <w:color w:val="auto"/>
              </w:rPr>
            </w:pPr>
            <w:r>
              <w:rPr>
                <w:rFonts w:ascii="Times New Roman" w:cs="Times New Roman" w:eastAsia="Times New Roman" w:hAnsi="Times New Roman"/>
                <w:sz w:val="18"/>
                <w:szCs w:val="18"/>
                <w:color w:val="auto"/>
              </w:rPr>
              <w:t>Restructuring reserves</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Investment in property, plant and equipment</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1"/>
              </w:rPr>
              <w:t>(17.3)</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Investments in acquired businesses, net of cash</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acquired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1"/>
              </w:rPr>
              <w:t>(31.0)</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Payments on seller notes</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1"/>
              </w:rPr>
              <w:t>(18.5)</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(11.4)</w:t>
            </w: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1"/>
              </w:rPr>
              <w:t>(66.8)</w:t>
            </w:r>
          </w:p>
        </w:tc>
        <w:tc>
          <w:tcPr>
            <w:tcW w:w="5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w w:val="95"/>
              </w:rPr>
              <w:t>(113.0)</w:t>
            </w:r>
          </w:p>
        </w:tc>
        <w:tc>
          <w:tcPr>
            <w:tcW w:w="0" w:type="dxa"/>
            <w:vAlign w:val="bottom"/>
          </w:tcPr>
          <w:p>
            <w:pPr>
              <w:spacing w:after="0"/>
              <w:rPr>
                <w:sz w:val="1"/>
                <w:szCs w:val="1"/>
                <w:color w:val="auto"/>
              </w:rPr>
            </w:pPr>
          </w:p>
        </w:tc>
      </w:tr>
      <w:tr>
        <w:trPr>
          <w:trHeight w:val="10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EEEEEE"/>
          </w:tcPr>
          <w:p>
            <w:pPr>
              <w:ind w:left="260"/>
              <w:spacing w:after="0" w:line="203" w:lineRule="exact"/>
              <w:rPr>
                <w:sz w:val="20"/>
                <w:szCs w:val="20"/>
                <w:color w:val="auto"/>
              </w:rPr>
            </w:pPr>
            <w:r>
              <w:rPr>
                <w:rFonts w:ascii="Times New Roman" w:cs="Times New Roman" w:eastAsia="Times New Roman" w:hAnsi="Times New Roman"/>
                <w:sz w:val="18"/>
                <w:szCs w:val="18"/>
                <w:color w:val="auto"/>
              </w:rPr>
              <w:t>Net repayments under revolving and bank lines of</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credit</w:t>
            </w:r>
          </w:p>
        </w:tc>
        <w:tc>
          <w:tcPr>
            <w:tcW w:w="30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(95.8)</w:t>
            </w:r>
          </w:p>
        </w:tc>
        <w:tc>
          <w:tcPr>
            <w:tcW w:w="6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repayments under term loans</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EEEEEE"/>
          </w:tcPr>
          <w:p>
            <w:pPr>
              <w:ind w:left="260"/>
              <w:spacing w:after="0" w:line="201" w:lineRule="exact"/>
              <w:rPr>
                <w:sz w:val="20"/>
                <w:szCs w:val="20"/>
                <w:color w:val="auto"/>
              </w:rPr>
            </w:pPr>
            <w:r>
              <w:rPr>
                <w:rFonts w:ascii="Times New Roman" w:cs="Times New Roman" w:eastAsia="Times New Roman" w:hAnsi="Times New Roman"/>
                <w:sz w:val="18"/>
                <w:szCs w:val="18"/>
                <w:color w:val="auto"/>
              </w:rPr>
              <w:t>Issuance of 8 5/8% senior subordinated notes, net</w:t>
            </w:r>
          </w:p>
        </w:tc>
        <w:tc>
          <w:tcPr>
            <w:tcW w:w="3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of issuance fees</w:t>
            </w:r>
          </w:p>
        </w:tc>
        <w:tc>
          <w:tcPr>
            <w:tcW w:w="300" w:type="dxa"/>
            <w:vAlign w:val="bottom"/>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4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3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Intercompany financing</w:t>
            </w:r>
          </w:p>
        </w:tc>
        <w:tc>
          <w:tcPr>
            <w:tcW w:w="30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5"/>
              </w:rPr>
              <w:t>(114.1)</w:t>
            </w:r>
          </w:p>
        </w:tc>
        <w:tc>
          <w:tcPr>
            <w:tcW w:w="26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1"/>
              </w:rPr>
              <w:t>(29.1)</w:t>
            </w: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143.2</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in)financing activities</w:t>
            </w: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580"/>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w w:val="91"/>
              </w:rPr>
              <w:t>(29.1)</w:t>
            </w: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5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bottom w:val="single" w:sz="8" w:color="808080"/>
            </w:tcBorders>
            <w:gridSpan w:val="2"/>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97</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153" w:gutter="0" w:footer="0" w:header="0"/>
        </w:sectPr>
      </w:pPr>
    </w:p>
    <w:bookmarkStart w:id="99" w:name="page100"/>
    <w:bookmarkEnd w:id="99"/>
    <w:p>
      <w:pPr>
        <w:jc w:val="center"/>
        <w:ind w:left="380" w:right="1680"/>
        <w:spacing w:after="0" w:line="441" w:lineRule="auto"/>
        <w:rPr>
          <w:sz w:val="20"/>
          <w:szCs w:val="20"/>
          <w:color w:val="auto"/>
        </w:rPr>
      </w:pPr>
      <w:r>
        <w:rPr>
          <w:rFonts w:ascii="Times New Roman" w:cs="Times New Roman" w:eastAsia="Times New Roman" w:hAnsi="Times New Roman"/>
          <w:sz w:val="22"/>
          <w:szCs w:val="22"/>
          <w:b w:val="1"/>
          <w:bCs w:val="1"/>
          <w:color w:val="auto"/>
        </w:rPr>
        <w:t>NOTES TO CONSOLIDATED FINANCIAL STATEMENTS REPORT OF INDEPENDENT REGISTERED PUBLIC ACCOUNTING FIRM ON FINANCIAL STATEMENT SCHEDULE</w:t>
      </w: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The Scotts Company</w:t>
      </w:r>
    </w:p>
    <w:p>
      <w:pPr>
        <w:spacing w:after="0" w:line="252"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Our audits of the consolidated financial statements referred to in our report dated November 22, 2004 appearing in Item 15(a)(1) of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83820</wp:posOffset>
            </wp:positionV>
            <wp:extent cx="3860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18" w:right="37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Column A</w:t>
            </w: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B</w:t>
            </w:r>
          </w:p>
        </w:tc>
        <w:tc>
          <w:tcPr>
            <w:tcW w:w="32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D</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E</w:t>
            </w: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Additions</w:t>
            </w:r>
          </w:p>
        </w:tc>
        <w:tc>
          <w:tcPr>
            <w:tcW w:w="3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Deductions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Charged</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320" w:type="dxa"/>
            <w:vAlign w:val="bottom"/>
          </w:tcPr>
          <w:p>
            <w:pPr>
              <w:spacing w:after="0"/>
              <w:rPr>
                <w:sz w:val="12"/>
                <w:szCs w:val="12"/>
                <w:color w:val="auto"/>
              </w:rPr>
            </w:pPr>
          </w:p>
        </w:tc>
        <w:tc>
          <w:tcPr>
            <w:tcW w:w="9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3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Classification</w:t>
            </w: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320" w:type="dxa"/>
            <w:vAlign w:val="bottom"/>
          </w:tcPr>
          <w:p>
            <w:pPr>
              <w:spacing w:after="0"/>
              <w:rPr>
                <w:sz w:val="15"/>
                <w:szCs w:val="15"/>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3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Valuation and qualifying accounts deducted from the</w:t>
            </w:r>
          </w:p>
        </w:tc>
        <w:tc>
          <w:tcPr>
            <w:tcW w:w="3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assets to which they apply:</w:t>
            </w:r>
          </w:p>
        </w:tc>
        <w:tc>
          <w:tcPr>
            <w:tcW w:w="30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4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$11.8</w:t>
            </w:r>
          </w:p>
        </w:tc>
        <w:tc>
          <w:tcPr>
            <w:tcW w:w="166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$(12.5)</w:t>
            </w:r>
          </w:p>
        </w:tc>
        <w:tc>
          <w:tcPr>
            <w:tcW w:w="148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80" w:type="dxa"/>
            <w:vAlign w:val="bottom"/>
            <w:gridSpan w:val="2"/>
            <w:shd w:val="clear" w:color="auto" w:fill="EEEEEE"/>
          </w:tcPr>
          <w:p>
            <w:pPr>
              <w:jc w:val="right"/>
              <w:ind w:right="352"/>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3.4</w:t>
            </w:r>
          </w:p>
        </w:tc>
        <w:tc>
          <w:tcPr>
            <w:tcW w:w="166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2"/>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4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6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2003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60" w:type="dxa"/>
            <w:vAlign w:val="bottom"/>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w w:val="93"/>
              </w:rPr>
              <w:t>Column A</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B</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Column 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Column 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Additions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Deductions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Credited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jc w:val="center"/>
              <w:ind w:left="218"/>
              <w:spacing w:after="0"/>
              <w:rPr>
                <w:sz w:val="20"/>
                <w:szCs w:val="20"/>
                <w:color w:val="auto"/>
              </w:rPr>
            </w:pPr>
            <w:r>
              <w:rPr>
                <w:rFonts w:ascii="Times New Roman" w:cs="Times New Roman" w:eastAsia="Times New Roman" w:hAnsi="Times New Roman"/>
                <w:sz w:val="14"/>
                <w:szCs w:val="14"/>
                <w:color w:val="auto"/>
                <w:w w:val="96"/>
              </w:rPr>
              <w:t>Classification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Write-Offs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w w:val="97"/>
              </w:rPr>
              <w:t>Valuation and qualifying accounts deducted from the</w:t>
            </w: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assets to which they apply:</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640" w:type="dxa"/>
            <w:vAlign w:val="bottom"/>
            <w:gridSpan w:val="5"/>
          </w:tcPr>
          <w:p>
            <w:pPr>
              <w:jc w:val="right"/>
              <w:ind w:right="191"/>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6"/>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160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$(9.0)</w:t>
            </w:r>
          </w:p>
        </w:tc>
        <w:tc>
          <w:tcPr>
            <w:tcW w:w="150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40" w:type="dxa"/>
            <w:vAlign w:val="bottom"/>
            <w:gridSpan w:val="5"/>
            <w:shd w:val="clear" w:color="auto" w:fill="EEEEEE"/>
          </w:tcPr>
          <w:p>
            <w:pPr>
              <w:jc w:val="right"/>
              <w:ind w:right="191"/>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06"/>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(7.4)</w:t>
            </w:r>
          </w:p>
        </w:tc>
        <w:tc>
          <w:tcPr>
            <w:tcW w:w="1500" w:type="dxa"/>
            <w:vAlign w:val="bottom"/>
            <w:gridSpan w:val="3"/>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06"/>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540" w:type="dxa"/>
            <w:vAlign w:val="bottom"/>
            <w:gridSpan w:val="17"/>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Schedule II — Valuation and Qualifying Accounts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the fiscal year ended September 30, 2002</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760" w:type="dxa"/>
            <w:vAlign w:val="bottom"/>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3"/>
              </w:rPr>
              <w:t>Column A</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Column B</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Column 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Additions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Deductions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Charged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at End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jc w:val="center"/>
              <w:ind w:left="138"/>
              <w:spacing w:after="0"/>
              <w:rPr>
                <w:sz w:val="20"/>
                <w:szCs w:val="20"/>
                <w:color w:val="auto"/>
              </w:rPr>
            </w:pPr>
            <w:r>
              <w:rPr>
                <w:rFonts w:ascii="Times New Roman" w:cs="Times New Roman" w:eastAsia="Times New Roman" w:hAnsi="Times New Roman"/>
                <w:sz w:val="14"/>
                <w:szCs w:val="14"/>
                <w:color w:val="auto"/>
                <w:w w:val="96"/>
              </w:rPr>
              <w:t>Classification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Write-Offs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w w:val="97"/>
              </w:rPr>
              <w:t>Valuation and qualifying accounts deducted from the</w:t>
            </w: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assets to which they apply:</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640" w:type="dxa"/>
            <w:vAlign w:val="bottom"/>
            <w:gridSpan w:val="5"/>
          </w:tcPr>
          <w:p>
            <w:pPr>
              <w:jc w:val="right"/>
              <w:ind w:right="271"/>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8"/>
                <w:szCs w:val="18"/>
                <w:color w:val="auto"/>
              </w:rPr>
            </w:pPr>
          </w:p>
        </w:tc>
        <w:tc>
          <w:tcPr>
            <w:tcW w:w="160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color w:val="auto"/>
              </w:rPr>
              <w:t>$(13.8)</w:t>
            </w:r>
          </w:p>
        </w:tc>
        <w:tc>
          <w:tcPr>
            <w:tcW w:w="150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40" w:type="dxa"/>
            <w:vAlign w:val="bottom"/>
            <w:gridSpan w:val="5"/>
            <w:shd w:val="clear" w:color="auto" w:fill="EEEEEE"/>
          </w:tcPr>
          <w:p>
            <w:pPr>
              <w:jc w:val="right"/>
              <w:ind w:right="271"/>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366"/>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(6.2)</w:t>
            </w:r>
          </w:p>
        </w:tc>
        <w:tc>
          <w:tcPr>
            <w:tcW w:w="1500" w:type="dxa"/>
            <w:vAlign w:val="bottom"/>
            <w:gridSpan w:val="3"/>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1" w:name="page102"/>
    <w:bookmarkEnd w:id="10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Scotts Company</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60"/>
        <w:spacing w:after="0"/>
        <w:tabs>
          <w:tab w:leader="none" w:pos="3600" w:val="left"/>
          <w:tab w:leader="none" w:pos="8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Amended and Restated Agreement and Plan of Merger, dated as of May 19,</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1995, among Stern’s Miracle-Gro Products, Inc., Stern’s Nurseries, Inc.,</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Miracle-Gro Lawn Products Inc., Miracle-Gro Products Limited, Hagedorn</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Partnership, L.P., the general partners of Hagedorn Partnership, L.P., Horace</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Hagedorn, Community Funds, Inc., and John Kenlon, The Scotts Company</w:t>
            </w:r>
          </w:p>
        </w:tc>
      </w:tr>
      <w:tr>
        <w:trPr>
          <w:trHeight w:val="228"/>
        </w:trPr>
        <w:tc>
          <w:tcPr>
            <w:tcW w:w="780" w:type="dxa"/>
            <w:vAlign w:val="bottom"/>
          </w:tcPr>
          <w:p>
            <w:pPr>
              <w:spacing w:after="0"/>
              <w:rPr>
                <w:sz w:val="19"/>
                <w:szCs w:val="19"/>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“Registrant”), and ZYX Corporation</w:t>
            </w:r>
          </w:p>
        </w:tc>
      </w:tr>
      <w:tr>
        <w:trPr>
          <w:trHeight w:val="4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2(b)</w:t>
            </w: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First Amendment to Amended and Restated Agreement and Plan of Merger,</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made and entered into as of October 1, 1999, among the Registrant, Scotts</w:t>
            </w:r>
          </w:p>
        </w:tc>
      </w:tr>
      <w:tr>
        <w:trPr>
          <w:trHeight w:val="216"/>
        </w:trPr>
        <w:tc>
          <w:tcPr>
            <w:tcW w:w="780" w:type="dxa"/>
            <w:vAlign w:val="bottom"/>
          </w:tcPr>
          <w:p>
            <w:pPr>
              <w:spacing w:after="0"/>
              <w:rPr>
                <w:sz w:val="18"/>
                <w:szCs w:val="18"/>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Miracle-Gro Products, Inc. (as successor to ZYX Corporation and Stern’s</w:t>
            </w:r>
          </w:p>
        </w:tc>
      </w:tr>
      <w:tr>
        <w:trPr>
          <w:trHeight w:val="228"/>
        </w:trPr>
        <w:tc>
          <w:tcPr>
            <w:tcW w:w="780" w:type="dxa"/>
            <w:vAlign w:val="bottom"/>
          </w:tcPr>
          <w:p>
            <w:pPr>
              <w:spacing w:after="0"/>
              <w:rPr>
                <w:sz w:val="19"/>
                <w:szCs w:val="19"/>
                <w:color w:val="auto"/>
              </w:rPr>
            </w:pPr>
          </w:p>
        </w:tc>
        <w:tc>
          <w:tcPr>
            <w:tcW w:w="5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Miracle-Gro Products, Inc.), Miracle-Gro Lawn Products Inc., Miracle-Gro</w:t>
            </w:r>
          </w:p>
        </w:tc>
      </w:tr>
    </w:tbl>
    <w:p>
      <w:pPr>
        <w:ind w:left="1280"/>
        <w:spacing w:after="0" w:line="254" w:lineRule="auto"/>
        <w:rPr>
          <w:sz w:val="20"/>
          <w:szCs w:val="20"/>
          <w:color w:val="auto"/>
        </w:rPr>
      </w:pPr>
      <w:r>
        <w:rPr>
          <w:rFonts w:ascii="Times New Roman" w:cs="Times New Roman" w:eastAsia="Times New Roman" w:hAnsi="Times New Roman"/>
          <w:sz w:val="18"/>
          <w:szCs w:val="18"/>
          <w:color w:val="auto"/>
        </w:rPr>
        <w:t>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May 31, 1995 (File No. 0-19768) [Exhibit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October 4, 1999 (File No. 1-11593) [Exhibit 2]</w:t>
      </w:r>
    </w:p>
    <w:p>
      <w:pPr>
        <w:spacing w:after="0" w:line="1267" w:lineRule="exact"/>
        <w:rPr>
          <w:sz w:val="20"/>
          <w:szCs w:val="20"/>
          <w:color w:val="auto"/>
        </w:rPr>
      </w:pPr>
    </w:p>
    <w:p>
      <w:pPr>
        <w:sectPr>
          <w:pgSz w:w="11900" w:h="16838" w:orient="portrait"/>
          <w:cols w:equalWidth="0" w:num="2">
            <w:col w:w="6640" w:space="340"/>
            <w:col w:w="4400"/>
          </w:cols>
          <w:pgMar w:left="240" w:top="918"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3(a)(1)</w:t>
            </w:r>
          </w:p>
        </w:tc>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Certificate of Amendment by Shareholders to Articles of The Scotts</w:t>
            </w:r>
          </w:p>
        </w:tc>
      </w:tr>
      <w:tr>
        <w:trPr>
          <w:trHeight w:val="228"/>
        </w:trPr>
        <w:tc>
          <w:tcPr>
            <w:tcW w:w="88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Company reflecting adoption of amendment to Article FOURTH of</w:t>
            </w:r>
          </w:p>
        </w:tc>
      </w:tr>
    </w:tbl>
    <w:p>
      <w:pPr>
        <w:ind w:left="1280"/>
        <w:spacing w:after="0" w:line="255" w:lineRule="auto"/>
        <w:rPr>
          <w:sz w:val="20"/>
          <w:szCs w:val="20"/>
          <w:color w:val="auto"/>
        </w:rPr>
      </w:pPr>
      <w:r>
        <w:rPr>
          <w:rFonts w:ascii="Times New Roman" w:cs="Times New Roman" w:eastAsia="Times New Roman" w:hAnsi="Times New Roman"/>
          <w:sz w:val="18"/>
          <w:szCs w:val="18"/>
          <w:color w:val="auto"/>
        </w:rPr>
        <w:t>Amended Articles of Incorporation by the shareholders of The Scotts Company on January 18, 2001, as filed with Ohio Secretary of State on January 18, 2001</w:t>
      </w:r>
    </w:p>
    <w:p>
      <w:pPr>
        <w:spacing w:after="0" w:line="20" w:lineRule="exact"/>
        <w:rPr>
          <w:sz w:val="20"/>
          <w:szCs w:val="20"/>
          <w:color w:val="auto"/>
        </w:rPr>
      </w:pPr>
      <w:r>
        <w:rPr>
          <w:sz w:val="20"/>
          <w:szCs w:val="20"/>
          <w:color w:val="auto"/>
        </w:rPr>
        <w:br w:type="column"/>
      </w:r>
    </w:p>
    <w:p>
      <w:pPr>
        <w:ind w:right="6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Quarterly Report on Form 10-Q for the quarterly period ended December 30, 2000 (File No. 1-13292) [Exhibit 3(a)(1)]</w:t>
      </w:r>
    </w:p>
    <w:p>
      <w:pPr>
        <w:spacing w:after="0" w:line="583" w:lineRule="exact"/>
        <w:rPr>
          <w:sz w:val="20"/>
          <w:szCs w:val="20"/>
          <w:color w:val="auto"/>
        </w:rPr>
      </w:pPr>
    </w:p>
    <w:p>
      <w:pPr>
        <w:sectPr>
          <w:pgSz w:w="11900" w:h="16838" w:orient="portrait"/>
          <w:cols w:equalWidth="0" w:num="2">
            <w:col w:w="6300" w:space="680"/>
            <w:col w:w="4400"/>
          </w:cols>
          <w:pgMar w:left="240" w:top="918"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3(a)(2)</w:t>
            </w: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Certificate of Amendment by Directors of The Scotts Company reflecting</w:t>
            </w:r>
          </w:p>
        </w:tc>
      </w:tr>
      <w:tr>
        <w:trPr>
          <w:trHeight w:val="216"/>
        </w:trPr>
        <w:tc>
          <w:tcPr>
            <w:tcW w:w="900" w:type="dxa"/>
            <w:vAlign w:val="bottom"/>
          </w:tcPr>
          <w:p>
            <w:pPr>
              <w:spacing w:after="0"/>
              <w:rPr>
                <w:sz w:val="18"/>
                <w:szCs w:val="18"/>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adoption of Restated Articles of Incorporation attached thereto, by the</w:t>
            </w:r>
          </w:p>
        </w:tc>
      </w:tr>
      <w:tr>
        <w:trPr>
          <w:trHeight w:val="216"/>
        </w:trPr>
        <w:tc>
          <w:tcPr>
            <w:tcW w:w="900" w:type="dxa"/>
            <w:vAlign w:val="bottom"/>
          </w:tcPr>
          <w:p>
            <w:pPr>
              <w:spacing w:after="0"/>
              <w:rPr>
                <w:sz w:val="18"/>
                <w:szCs w:val="18"/>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Board of Directors of The Scotts Company on January 18, 2001, as filed</w:t>
            </w:r>
          </w:p>
        </w:tc>
      </w:tr>
      <w:tr>
        <w:trPr>
          <w:trHeight w:val="228"/>
        </w:trPr>
        <w:tc>
          <w:tcPr>
            <w:tcW w:w="900" w:type="dxa"/>
            <w:vAlign w:val="bottom"/>
          </w:tcPr>
          <w:p>
            <w:pPr>
              <w:spacing w:after="0"/>
              <w:rPr>
                <w:sz w:val="19"/>
                <w:szCs w:val="19"/>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with Ohio Secretary of State on January 29, 2001</w:t>
            </w:r>
          </w:p>
        </w:tc>
      </w:tr>
      <w:tr>
        <w:trPr>
          <w:trHeight w:val="42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3(b)(1)</w:t>
            </w: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7"/>
              </w:rPr>
              <w:t>Certificate regarding Adoption of Amendments to the Code of Regulations</w:t>
            </w:r>
          </w:p>
        </w:tc>
      </w:tr>
      <w:tr>
        <w:trPr>
          <w:trHeight w:val="228"/>
        </w:trPr>
        <w:tc>
          <w:tcPr>
            <w:tcW w:w="900" w:type="dxa"/>
            <w:vAlign w:val="bottom"/>
          </w:tcPr>
          <w:p>
            <w:pPr>
              <w:spacing w:after="0"/>
              <w:rPr>
                <w:sz w:val="19"/>
                <w:szCs w:val="19"/>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 The Scotts Company by the Shareholders on January 18, 2001</w:t>
            </w:r>
          </w:p>
        </w:tc>
      </w:tr>
      <w:tr>
        <w:trPr>
          <w:trHeight w:val="6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3(b)(2)</w:t>
            </w: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Code of Regulations of The Scotts Company (reflecting amendments</w:t>
            </w:r>
          </w:p>
        </w:tc>
      </w:tr>
      <w:tr>
        <w:trPr>
          <w:trHeight w:val="228"/>
        </w:trPr>
        <w:tc>
          <w:tcPr>
            <w:tcW w:w="900" w:type="dxa"/>
            <w:vAlign w:val="bottom"/>
          </w:tcPr>
          <w:p>
            <w:pPr>
              <w:spacing w:after="0"/>
              <w:rPr>
                <w:sz w:val="19"/>
                <w:szCs w:val="19"/>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through January 18, 2001) [for SEC reporting compliance purposes only]</w:t>
            </w:r>
          </w:p>
        </w:tc>
      </w:tr>
      <w:tr>
        <w:trPr>
          <w:trHeight w:val="63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4(a)(1)</w:t>
            </w: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Indenture, dated as of January 21, 1999, among the Registrant; the</w:t>
            </w:r>
          </w:p>
        </w:tc>
      </w:tr>
      <w:tr>
        <w:trPr>
          <w:trHeight w:val="216"/>
        </w:trPr>
        <w:tc>
          <w:tcPr>
            <w:tcW w:w="900" w:type="dxa"/>
            <w:vAlign w:val="bottom"/>
          </w:tcPr>
          <w:p>
            <w:pPr>
              <w:spacing w:after="0"/>
              <w:rPr>
                <w:sz w:val="18"/>
                <w:szCs w:val="18"/>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6"/>
              </w:rPr>
              <w:t>Guarantors identified therein; and State Street Bank and Trust Company, as</w:t>
            </w:r>
          </w:p>
        </w:tc>
      </w:tr>
      <w:tr>
        <w:trPr>
          <w:trHeight w:val="228"/>
        </w:trPr>
        <w:tc>
          <w:tcPr>
            <w:tcW w:w="900" w:type="dxa"/>
            <w:vAlign w:val="bottom"/>
          </w:tcPr>
          <w:p>
            <w:pPr>
              <w:spacing w:after="0"/>
              <w:rPr>
                <w:sz w:val="19"/>
                <w:szCs w:val="19"/>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Trustee</w:t>
            </w:r>
          </w:p>
        </w:tc>
      </w:tr>
      <w:tr>
        <w:trPr>
          <w:trHeight w:val="42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4(a)(2)</w:t>
            </w: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Supplemental Indenture, dated as of February 6, 2002, among the</w:t>
            </w:r>
          </w:p>
        </w:tc>
      </w:tr>
      <w:tr>
        <w:trPr>
          <w:trHeight w:val="216"/>
        </w:trPr>
        <w:tc>
          <w:tcPr>
            <w:tcW w:w="900" w:type="dxa"/>
            <w:vAlign w:val="bottom"/>
          </w:tcPr>
          <w:p>
            <w:pPr>
              <w:spacing w:after="0"/>
              <w:rPr>
                <w:sz w:val="18"/>
                <w:szCs w:val="18"/>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Registrant; the Guarantors identified therein; and State Street Bank and</w:t>
            </w:r>
          </w:p>
        </w:tc>
      </w:tr>
      <w:tr>
        <w:trPr>
          <w:trHeight w:val="228"/>
        </w:trPr>
        <w:tc>
          <w:tcPr>
            <w:tcW w:w="900" w:type="dxa"/>
            <w:vAlign w:val="bottom"/>
          </w:tcPr>
          <w:p>
            <w:pPr>
              <w:spacing w:after="0"/>
              <w:rPr>
                <w:sz w:val="19"/>
                <w:szCs w:val="19"/>
                <w:color w:val="auto"/>
              </w:rPr>
            </w:pPr>
          </w:p>
        </w:tc>
        <w:tc>
          <w:tcPr>
            <w:tcW w:w="56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Trust Company, as Trustee</w:t>
            </w:r>
          </w:p>
        </w:tc>
      </w:tr>
      <w:tr>
        <w:trPr>
          <w:trHeight w:val="110"/>
        </w:trPr>
        <w:tc>
          <w:tcPr>
            <w:tcW w:w="9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r>
      <w:tr>
        <w:trPr>
          <w:trHeight w:val="316"/>
        </w:trPr>
        <w:tc>
          <w:tcPr>
            <w:tcW w:w="900" w:type="dxa"/>
            <w:vAlign w:val="bottom"/>
          </w:tcPr>
          <w:p>
            <w:pPr>
              <w:spacing w:after="0"/>
              <w:rPr>
                <w:sz w:val="24"/>
                <w:szCs w:val="24"/>
                <w:color w:val="auto"/>
              </w:rPr>
            </w:pPr>
          </w:p>
        </w:tc>
        <w:tc>
          <w:tcPr>
            <w:tcW w:w="5120" w:type="dxa"/>
            <w:vAlign w:val="bottom"/>
            <w:gridSpan w:val="2"/>
          </w:tcPr>
          <w:p>
            <w:pPr>
              <w:ind w:left="4680"/>
              <w:spacing w:after="0"/>
              <w:rPr>
                <w:sz w:val="20"/>
                <w:szCs w:val="20"/>
                <w:color w:val="auto"/>
              </w:rPr>
            </w:pPr>
            <w:r>
              <w:rPr>
                <w:rFonts w:ascii="Times New Roman" w:cs="Times New Roman" w:eastAsia="Times New Roman" w:hAnsi="Times New Roman"/>
                <w:sz w:val="18"/>
                <w:szCs w:val="18"/>
                <w:b w:val="1"/>
                <w:bCs w:val="1"/>
                <w:color w:val="auto"/>
              </w:rPr>
              <w:t>100</w:t>
            </w: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Quarterly Report on Form 10-Q for the quarterly period ended December 30, 2000 (File No. 1-13292) [Exhibit 3(a)(2)]</w:t>
      </w:r>
    </w:p>
    <w:p>
      <w:pPr>
        <w:spacing w:after="0" w:line="367"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Quarterly Report on Form 10-Q for the quarterly period ended December 30, 2000 (File No. 1-13292) [Exhibit 3(b)(1)]</w:t>
      </w:r>
    </w:p>
    <w:p>
      <w:pPr>
        <w:spacing w:after="0" w:line="151"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Quarterly Report on Form 10-Q for the quarterly period ended December 30, 2000 (File No. 1-13292) [Exhibit 3(b)(2)]</w:t>
      </w:r>
    </w:p>
    <w:p>
      <w:pPr>
        <w:spacing w:after="0" w:line="15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Registration Statement on Form S-4 filed on April 21, 1999 (Registration No. 333-76739) [Exhibit 4]</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4(m)(2)]</w:t>
      </w:r>
    </w:p>
    <w:p>
      <w:pPr>
        <w:sectPr>
          <w:pgSz w:w="11900" w:h="16838" w:orient="portrait"/>
          <w:cols w:equalWidth="0" w:num="2">
            <w:col w:w="6560" w:space="420"/>
            <w:col w:w="4400"/>
          </w:cols>
          <w:pgMar w:left="240" w:top="918" w:right="279" w:bottom="1440" w:gutter="0" w:footer="0" w:header="0"/>
          <w:type w:val="continuous"/>
        </w:sectPr>
      </w:pPr>
    </w:p>
    <w:bookmarkStart w:id="102" w:name="page103"/>
    <w:bookmarkEnd w:id="102"/>
    <w:p>
      <w:pPr>
        <w:ind w:left="26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60"/>
        <w:spacing w:after="0"/>
        <w:tabs>
          <w:tab w:leader="none" w:pos="3600" w:val="left"/>
          <w:tab w:leader="none" w:pos="8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53" w:right="35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4(a)(3)</w:t>
            </w: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Second Supplemental Indenture, dated as of September 29, 2003, among</w:t>
            </w:r>
          </w:p>
        </w:tc>
      </w:tr>
      <w:tr>
        <w:trPr>
          <w:trHeight w:val="216"/>
        </w:trPr>
        <w:tc>
          <w:tcPr>
            <w:tcW w:w="880" w:type="dxa"/>
            <w:vAlign w:val="bottom"/>
          </w:tcPr>
          <w:p>
            <w:pPr>
              <w:spacing w:after="0"/>
              <w:rPr>
                <w:sz w:val="18"/>
                <w:szCs w:val="18"/>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Registrant; the Guarantors identified therein; and U.S. Bank National</w:t>
            </w:r>
          </w:p>
        </w:tc>
      </w:tr>
      <w:tr>
        <w:trPr>
          <w:trHeight w:val="228"/>
        </w:trPr>
        <w:tc>
          <w:tcPr>
            <w:tcW w:w="880" w:type="dxa"/>
            <w:vAlign w:val="bottom"/>
          </w:tcPr>
          <w:p>
            <w:pPr>
              <w:spacing w:after="0"/>
              <w:rPr>
                <w:sz w:val="19"/>
                <w:szCs w:val="19"/>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Association (successor to State Street Bank and Trust Company), as Trustee</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as of October 8, 2003, between the Registrant; the</w:t>
            </w:r>
          </w:p>
        </w:tc>
      </w:tr>
      <w:tr>
        <w:trPr>
          <w:trHeight w:val="216"/>
        </w:trPr>
        <w:tc>
          <w:tcPr>
            <w:tcW w:w="880" w:type="dxa"/>
            <w:vAlign w:val="bottom"/>
          </w:tcPr>
          <w:p>
            <w:pPr>
              <w:spacing w:after="0"/>
              <w:rPr>
                <w:sz w:val="18"/>
                <w:szCs w:val="18"/>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identified therein; and U.S. Bank National Association, as</w:t>
            </w:r>
          </w:p>
        </w:tc>
      </w:tr>
      <w:tr>
        <w:trPr>
          <w:trHeight w:val="228"/>
        </w:trPr>
        <w:tc>
          <w:tcPr>
            <w:tcW w:w="880" w:type="dxa"/>
            <w:vAlign w:val="bottom"/>
          </w:tcPr>
          <w:p>
            <w:pPr>
              <w:spacing w:after="0"/>
              <w:rPr>
                <w:sz w:val="19"/>
                <w:szCs w:val="19"/>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 dated October 8, 2003, among the</w:t>
            </w:r>
          </w:p>
        </w:tc>
      </w:tr>
      <w:tr>
        <w:trPr>
          <w:trHeight w:val="228"/>
        </w:trPr>
        <w:tc>
          <w:tcPr>
            <w:tcW w:w="880" w:type="dxa"/>
            <w:vAlign w:val="bottom"/>
          </w:tcPr>
          <w:p>
            <w:pPr>
              <w:spacing w:after="0"/>
              <w:rPr>
                <w:sz w:val="19"/>
                <w:szCs w:val="19"/>
                <w:color w:val="auto"/>
              </w:rPr>
            </w:pPr>
          </w:p>
        </w:tc>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7"/>
              </w:rPr>
              <w:t>Registrant; the Guarantors identified therein; and Citigroup Global Markets</w:t>
            </w:r>
          </w:p>
        </w:tc>
      </w:tr>
    </w:tbl>
    <w:p>
      <w:pPr>
        <w:ind w:left="1280" w:right="20"/>
        <w:spacing w:after="0" w:line="255" w:lineRule="auto"/>
        <w:rPr>
          <w:sz w:val="20"/>
          <w:szCs w:val="20"/>
          <w:color w:val="auto"/>
        </w:rPr>
      </w:pPr>
      <w:r>
        <w:rPr>
          <w:rFonts w:ascii="Times New Roman" w:cs="Times New Roman" w:eastAsia="Times New Roman" w:hAnsi="Times New Roman"/>
          <w:sz w:val="18"/>
          <w:szCs w:val="18"/>
          <w:color w:val="auto"/>
        </w:rPr>
        <w:t>Inc., Banc of America Securities LLC and J.P. Morgan Securities Inc. as representatives for the initial purchasers of the 6.625% Senior Subordinated Notes due 2013 described therein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4(m)(3)]</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4(n)]</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4(o)]</w:t>
      </w:r>
    </w:p>
    <w:p>
      <w:pPr>
        <w:spacing w:after="0" w:line="618" w:lineRule="exact"/>
        <w:rPr>
          <w:sz w:val="20"/>
          <w:szCs w:val="20"/>
          <w:color w:val="auto"/>
        </w:rPr>
      </w:pPr>
    </w:p>
    <w:p>
      <w:pPr>
        <w:sectPr>
          <w:pgSz w:w="11900" w:h="16838" w:orient="portrait"/>
          <w:cols w:equalWidth="0" w:num="2">
            <w:col w:w="6620" w:space="360"/>
            <w:col w:w="4320"/>
          </w:cols>
          <w:pgMar w:left="240" w:top="1153"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Second Amended and Restated Credit Agreement, dated as of October 22,</w:t>
            </w:r>
          </w:p>
        </w:tc>
      </w:tr>
      <w:tr>
        <w:trPr>
          <w:trHeight w:val="216"/>
        </w:trPr>
        <w:tc>
          <w:tcPr>
            <w:tcW w:w="780" w:type="dxa"/>
            <w:vAlign w:val="bottom"/>
          </w:tcPr>
          <w:p>
            <w:pPr>
              <w:spacing w:after="0"/>
              <w:rPr>
                <w:sz w:val="18"/>
                <w:szCs w:val="18"/>
                <w:color w:val="auto"/>
              </w:rPr>
            </w:pPr>
          </w:p>
        </w:tc>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2003, among the Registrant; Hyponex Corporation, Miracle Garden Care</w:t>
            </w:r>
          </w:p>
        </w:tc>
      </w:tr>
      <w:tr>
        <w:trPr>
          <w:trHeight w:val="228"/>
        </w:trPr>
        <w:tc>
          <w:tcPr>
            <w:tcW w:w="780" w:type="dxa"/>
            <w:vAlign w:val="bottom"/>
          </w:tcPr>
          <w:p>
            <w:pPr>
              <w:spacing w:after="0"/>
              <w:rPr>
                <w:sz w:val="19"/>
                <w:szCs w:val="19"/>
                <w:color w:val="auto"/>
              </w:rPr>
            </w:pPr>
          </w:p>
        </w:tc>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Limited, OM Scott International Investments Ltd., Scotts Australia Pty.</w:t>
            </w:r>
          </w:p>
        </w:tc>
      </w:tr>
    </w:tbl>
    <w:p>
      <w:pPr>
        <w:ind w:left="1280"/>
        <w:spacing w:after="0" w:line="287" w:lineRule="auto"/>
        <w:rPr>
          <w:sz w:val="20"/>
          <w:szCs w:val="20"/>
          <w:color w:val="auto"/>
        </w:rPr>
      </w:pPr>
      <w:r>
        <w:rPr>
          <w:rFonts w:ascii="Times New Roman" w:cs="Times New Roman" w:eastAsia="Times New Roman" w:hAnsi="Times New Roman"/>
          <w:sz w:val="16"/>
          <w:szCs w:val="16"/>
          <w:color w:val="auto"/>
        </w:rPr>
        <w:t>Ltd., Scotts Canada, Ltd., Scotts Holdings Limited, Scotts Manufacturing Company, Scotts-Sierra Horticultural Products Company, Scotts-Sierra Investments, Inc., Scotts Temecula Operations, LLC, Scotts Treasury EEIG, The Scotts Company (UK) Ltd., and other subsidiaries of the Registrant who are also borrowers from time to time; the lenders party thereto; Citicorp North America, Inc., as Syndication Agent; Bank of America, N.A. and Bank One, NA, as Co-Documentation Agents; JPMorgan Chase Bank, as Administrative Agent; and other Agents identified therein</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4(p)]</w:t>
      </w:r>
    </w:p>
    <w:p>
      <w:pPr>
        <w:spacing w:after="0" w:line="1914" w:lineRule="exact"/>
        <w:rPr>
          <w:sz w:val="20"/>
          <w:szCs w:val="20"/>
          <w:color w:val="auto"/>
        </w:rPr>
      </w:pPr>
    </w:p>
    <w:p>
      <w:pPr>
        <w:sectPr>
          <w:pgSz w:w="11900" w:h="16838" w:orient="portrait"/>
          <w:cols w:equalWidth="0" w:num="2">
            <w:col w:w="6640" w:space="340"/>
            <w:col w:w="4320"/>
          </w:cols>
          <w:pgMar w:left="240" w:top="1153"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10(a)(1)</w:t>
            </w: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The O.M. Scott &amp; Sons Company Excess Benefit Plan, effective October 1,</w:t>
            </w:r>
          </w:p>
        </w:tc>
      </w:tr>
      <w:tr>
        <w:trPr>
          <w:trHeight w:val="228"/>
        </w:trPr>
        <w:tc>
          <w:tcPr>
            <w:tcW w:w="94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1993</w:t>
            </w:r>
          </w:p>
        </w:tc>
      </w:tr>
    </w:tbl>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18"/>
          <w:szCs w:val="18"/>
          <w:color w:val="auto"/>
        </w:rPr>
        <w:t>Incorporated herein by reference to the Annual Report on Form 10-K for the fiscal year ended September 30, 1993, of The Scotts Company, a Delaware corporation (File No. 0-19768) [Exhibit 10(h)]</w:t>
      </w:r>
    </w:p>
    <w:p>
      <w:pPr>
        <w:spacing w:after="0" w:line="190" w:lineRule="exact"/>
        <w:rPr>
          <w:sz w:val="20"/>
          <w:szCs w:val="20"/>
          <w:color w:val="auto"/>
        </w:rPr>
      </w:pPr>
    </w:p>
    <w:p>
      <w:pPr>
        <w:sectPr>
          <w:pgSz w:w="11900" w:h="16838" w:orient="portrait"/>
          <w:cols w:equalWidth="0" w:num="2">
            <w:col w:w="6600" w:space="380"/>
            <w:col w:w="4320"/>
          </w:cols>
          <w:pgMar w:left="240" w:top="1153"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10(a)(2)</w:t>
            </w: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First Amendment to The O.M. Scott &amp; Sons Company Excess Benefit Plan,</w:t>
            </w:r>
          </w:p>
        </w:tc>
      </w:tr>
      <w:tr>
        <w:trPr>
          <w:trHeight w:val="228"/>
        </w:trPr>
        <w:tc>
          <w:tcPr>
            <w:tcW w:w="940" w:type="dxa"/>
            <w:vAlign w:val="bottom"/>
          </w:tcPr>
          <w:p>
            <w:pPr>
              <w:spacing w:after="0"/>
              <w:rPr>
                <w:sz w:val="19"/>
                <w:szCs w:val="19"/>
                <w:color w:val="auto"/>
              </w:rPr>
            </w:pP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effective as of January 1, 1998</w:t>
            </w:r>
          </w:p>
        </w:tc>
      </w:tr>
      <w:tr>
        <w:trPr>
          <w:trHeight w:val="63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10(a)(3)</w:t>
            </w: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Second Amendment to The O.M. Scott &amp; Sons Company Excess Benefit</w:t>
            </w:r>
          </w:p>
        </w:tc>
      </w:tr>
      <w:tr>
        <w:trPr>
          <w:trHeight w:val="228"/>
        </w:trPr>
        <w:tc>
          <w:tcPr>
            <w:tcW w:w="940" w:type="dxa"/>
            <w:vAlign w:val="bottom"/>
          </w:tcPr>
          <w:p>
            <w:pPr>
              <w:spacing w:after="0"/>
              <w:rPr>
                <w:sz w:val="19"/>
                <w:szCs w:val="19"/>
                <w:color w:val="auto"/>
              </w:rPr>
            </w:pP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Plan, effective as of January 1, 1999</w:t>
            </w:r>
          </w:p>
        </w:tc>
      </w:tr>
      <w:tr>
        <w:trPr>
          <w:trHeight w:val="326"/>
        </w:trPr>
        <w:tc>
          <w:tcPr>
            <w:tcW w:w="9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00" w:type="dxa"/>
            <w:vAlign w:val="bottom"/>
          </w:tcPr>
          <w:p>
            <w:pPr>
              <w:spacing w:after="0"/>
              <w:rPr>
                <w:sz w:val="24"/>
                <w:szCs w:val="24"/>
                <w:color w:val="auto"/>
              </w:rPr>
            </w:pPr>
          </w:p>
        </w:tc>
      </w:tr>
      <w:tr>
        <w:trPr>
          <w:trHeight w:val="316"/>
        </w:trPr>
        <w:tc>
          <w:tcPr>
            <w:tcW w:w="940" w:type="dxa"/>
            <w:vAlign w:val="bottom"/>
          </w:tcPr>
          <w:p>
            <w:pPr>
              <w:spacing w:after="0"/>
              <w:rPr>
                <w:sz w:val="24"/>
                <w:szCs w:val="24"/>
                <w:color w:val="auto"/>
              </w:rPr>
            </w:pPr>
          </w:p>
        </w:tc>
        <w:tc>
          <w:tcPr>
            <w:tcW w:w="5080" w:type="dxa"/>
            <w:vAlign w:val="bottom"/>
            <w:gridSpan w:val="2"/>
          </w:tcPr>
          <w:p>
            <w:pPr>
              <w:ind w:left="4640"/>
              <w:spacing w:after="0"/>
              <w:rPr>
                <w:sz w:val="20"/>
                <w:szCs w:val="20"/>
                <w:color w:val="auto"/>
              </w:rPr>
            </w:pPr>
            <w:r>
              <w:rPr>
                <w:rFonts w:ascii="Times New Roman" w:cs="Times New Roman" w:eastAsia="Times New Roman" w:hAnsi="Times New Roman"/>
                <w:sz w:val="18"/>
                <w:szCs w:val="18"/>
                <w:b w:val="1"/>
                <w:bCs w:val="1"/>
                <w:color w:val="auto"/>
              </w:rPr>
              <w:t>101</w:t>
            </w: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10(a)(2)]</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10(a)(3)]</w:t>
      </w:r>
    </w:p>
    <w:p>
      <w:pPr>
        <w:sectPr>
          <w:pgSz w:w="11900" w:h="16838" w:orient="portrait"/>
          <w:cols w:equalWidth="0" w:num="2">
            <w:col w:w="6620" w:space="360"/>
            <w:col w:w="4320"/>
          </w:cols>
          <w:pgMar w:left="240" w:top="1153" w:right="35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Exhibit</w:t>
            </w:r>
          </w:p>
        </w:tc>
        <w:tc>
          <w:tcPr>
            <w:tcW w:w="5820" w:type="dxa"/>
            <w:vAlign w:val="bottom"/>
          </w:tcPr>
          <w:p>
            <w:pPr>
              <w:spacing w:after="0"/>
              <w:rPr>
                <w:sz w:val="13"/>
                <w:szCs w:val="13"/>
                <w:color w:val="auto"/>
              </w:rPr>
            </w:pPr>
          </w:p>
        </w:tc>
        <w:tc>
          <w:tcPr>
            <w:tcW w:w="4620" w:type="dxa"/>
            <w:vAlign w:val="bottom"/>
          </w:tcPr>
          <w:p>
            <w:pPr>
              <w:spacing w:after="0"/>
              <w:rPr>
                <w:sz w:val="13"/>
                <w:szCs w:val="13"/>
                <w:color w:val="auto"/>
              </w:rPr>
            </w:pPr>
          </w:p>
        </w:tc>
      </w:tr>
      <w:tr>
        <w:trPr>
          <w:trHeight w:val="178"/>
        </w:trPr>
        <w:tc>
          <w:tcPr>
            <w:tcW w:w="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582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95"/>
        </w:trPr>
        <w:tc>
          <w:tcPr>
            <w:tcW w:w="980" w:type="dxa"/>
            <w:vAlign w:val="bottom"/>
            <w:tcBorders>
              <w:bottom w:val="single" w:sz="8" w:color="808080"/>
            </w:tcBorders>
          </w:tcPr>
          <w:p>
            <w:pPr>
              <w:spacing w:after="0"/>
              <w:rPr>
                <w:sz w:val="8"/>
                <w:szCs w:val="8"/>
                <w:color w:val="auto"/>
              </w:rPr>
            </w:pPr>
          </w:p>
        </w:tc>
        <w:tc>
          <w:tcPr>
            <w:tcW w:w="5820" w:type="dxa"/>
            <w:vAlign w:val="bottom"/>
            <w:tcBorders>
              <w:bottom w:val="single" w:sz="8" w:color="808080"/>
            </w:tcBorders>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r>
      <w:tr>
        <w:trPr>
          <w:trHeight w:val="30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10(b)(1)</w:t>
            </w: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Scotts Company 1992 Long Term Incentive Plan (as amended through</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Incorporated herein by reference to the Registrant’s Quarterly</w:t>
            </w:r>
          </w:p>
        </w:tc>
      </w:tr>
      <w:tr>
        <w:trPr>
          <w:trHeight w:val="216"/>
        </w:trPr>
        <w:tc>
          <w:tcPr>
            <w:tcW w:w="98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15, 2000)</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on Form 10-Q for the quarterly period ended April 1,</w:t>
            </w:r>
          </w:p>
        </w:tc>
      </w:tr>
      <w:tr>
        <w:trPr>
          <w:trHeight w:val="228"/>
        </w:trPr>
        <w:tc>
          <w:tcPr>
            <w:tcW w:w="9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 (File No. 1-13292) [Exhibit 10(b)]</w:t>
            </w:r>
          </w:p>
        </w:tc>
      </w:tr>
      <w:tr>
        <w:trPr>
          <w:trHeight w:val="4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10(b)(2)</w:t>
            </w: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Scotts Company 1992 Long Term Incentive Plan (2002 Amendment)</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Incorporated herein by reference to the Registrant’s Quarterly</w:t>
            </w:r>
          </w:p>
        </w:tc>
      </w:tr>
      <w:tr>
        <w:trPr>
          <w:trHeight w:val="216"/>
        </w:trPr>
        <w:tc>
          <w:tcPr>
            <w:tcW w:w="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on Form 10-Q for the quarterly period ended</w:t>
            </w:r>
          </w:p>
        </w:tc>
      </w:tr>
      <w:tr>
        <w:trPr>
          <w:trHeight w:val="228"/>
        </w:trPr>
        <w:tc>
          <w:tcPr>
            <w:tcW w:w="9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28, 2002 (File No. 1-13292) [Exhibit 10(b)(i)]</w:t>
            </w:r>
          </w:p>
        </w:tc>
      </w:tr>
      <w:tr>
        <w:trPr>
          <w:trHeight w:val="4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10(c)</w:t>
            </w: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Scotts Company Executive Annual Incentive Plan</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herein by reference to the Registrant’s Annual</w:t>
            </w:r>
          </w:p>
        </w:tc>
      </w:tr>
      <w:tr>
        <w:trPr>
          <w:trHeight w:val="216"/>
        </w:trPr>
        <w:tc>
          <w:tcPr>
            <w:tcW w:w="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Report on Form 10-K for the fiscal year ended September 30,</w:t>
            </w:r>
          </w:p>
        </w:tc>
      </w:tr>
      <w:tr>
        <w:trPr>
          <w:trHeight w:val="228"/>
        </w:trPr>
        <w:tc>
          <w:tcPr>
            <w:tcW w:w="9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2001 (File No. 1-13292) [Exhibit 10(c)]</w:t>
            </w:r>
          </w:p>
        </w:tc>
      </w:tr>
      <w:tr>
        <w:trPr>
          <w:trHeight w:val="4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10(d)(1)</w:t>
            </w: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Scotts Company 1996 Stock Option Plan (as amended through May 15,</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Incorporated herein by reference to the Registrant’s Quarterly</w:t>
            </w:r>
          </w:p>
        </w:tc>
      </w:tr>
      <w:tr>
        <w:trPr>
          <w:trHeight w:val="216"/>
        </w:trPr>
        <w:tc>
          <w:tcPr>
            <w:tcW w:w="98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2000)</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on Form 10-Q for the quarterly period ended April 1,</w:t>
            </w:r>
          </w:p>
        </w:tc>
      </w:tr>
      <w:tr>
        <w:trPr>
          <w:trHeight w:val="228"/>
        </w:trPr>
        <w:tc>
          <w:tcPr>
            <w:tcW w:w="9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 (File No. 1-13292) [Exhibit 10(d)]</w:t>
            </w:r>
          </w:p>
        </w:tc>
      </w:tr>
      <w:tr>
        <w:trPr>
          <w:trHeight w:val="42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10(d)(2)</w:t>
            </w:r>
          </w:p>
        </w:tc>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Scotts Company 1996 Stock Option Plan (2002 Amendment)</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Incorporated herein by reference to the Registrant’s Quarterly</w:t>
            </w:r>
          </w:p>
        </w:tc>
      </w:tr>
      <w:tr>
        <w:trPr>
          <w:trHeight w:val="216"/>
        </w:trPr>
        <w:tc>
          <w:tcPr>
            <w:tcW w:w="9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on Form 10-Q for the quarterly period ended</w:t>
            </w:r>
          </w:p>
        </w:tc>
      </w:tr>
      <w:tr>
        <w:trPr>
          <w:trHeight w:val="228"/>
        </w:trPr>
        <w:tc>
          <w:tcPr>
            <w:tcW w:w="98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28, 2002 (File No. 1-13292) [Exhibit 10(d)(i)]</w:t>
            </w:r>
          </w:p>
        </w:tc>
      </w:tr>
    </w:tbl>
    <w:p>
      <w:pPr>
        <w:spacing w:after="0" w:line="200" w:lineRule="exact"/>
        <w:rPr>
          <w:sz w:val="20"/>
          <w:szCs w:val="20"/>
          <w:color w:val="auto"/>
        </w:rPr>
      </w:pPr>
    </w:p>
    <w:p>
      <w:pPr>
        <w:sectPr>
          <w:pgSz w:w="11900" w:h="16838" w:orient="portrait"/>
          <w:cols w:equalWidth="0" w:num="1">
            <w:col w:w="11420"/>
          </w:cols>
          <w:pgMar w:left="240" w:top="1137" w:right="23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10(e)</w:t>
            </w: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Specimen form of Stock Option Agreement (as amended through</w:t>
            </w:r>
          </w:p>
        </w:tc>
      </w:tr>
      <w:tr>
        <w:trPr>
          <w:trHeight w:val="216"/>
        </w:trPr>
        <w:tc>
          <w:tcPr>
            <w:tcW w:w="94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October 23, 2001) for Non-Qualified Stock Options granted to employees</w:t>
            </w:r>
          </w:p>
        </w:tc>
      </w:tr>
      <w:tr>
        <w:trPr>
          <w:trHeight w:val="228"/>
        </w:trPr>
        <w:tc>
          <w:tcPr>
            <w:tcW w:w="94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The Scotts Company 1996 Stock Option Plan, U.S. specimen</w:t>
            </w:r>
          </w:p>
        </w:tc>
      </w:tr>
      <w:tr>
        <w:trPr>
          <w:trHeight w:val="4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w:t>
            </w: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Specimen form of Stock Option Agreement (as amended through</w:t>
            </w:r>
          </w:p>
        </w:tc>
      </w:tr>
      <w:tr>
        <w:trPr>
          <w:trHeight w:val="216"/>
        </w:trPr>
        <w:tc>
          <w:tcPr>
            <w:tcW w:w="94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October 23, 2001) for Non-Qualified Stock Options granted to employees</w:t>
            </w:r>
          </w:p>
        </w:tc>
      </w:tr>
      <w:tr>
        <w:trPr>
          <w:trHeight w:val="228"/>
        </w:trPr>
        <w:tc>
          <w:tcPr>
            <w:tcW w:w="94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The Scotts Company 1996 Stock Option Plan, French specimen</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10(g)(1)</w:t>
            </w:r>
          </w:p>
        </w:tc>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Scotts Company Executive Retirement Plan</w:t>
            </w:r>
          </w:p>
        </w:tc>
      </w:tr>
    </w:tbl>
    <w:p>
      <w:pPr>
        <w:spacing w:after="0" w:line="20" w:lineRule="exact"/>
        <w:rPr>
          <w:sz w:val="20"/>
          <w:szCs w:val="20"/>
          <w:color w:val="auto"/>
        </w:rPr>
      </w:pPr>
      <w:r>
        <w:rPr>
          <w:sz w:val="20"/>
          <w:szCs w:val="20"/>
          <w:color w:val="auto"/>
        </w:rPr>
        <w:br w:type="column"/>
      </w: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10(e)]</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10(f)]</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1998 (File No. 1-11593) [Exhibit 10(j)]</w:t>
      </w:r>
    </w:p>
    <w:p>
      <w:pPr>
        <w:spacing w:after="0" w:line="186" w:lineRule="exact"/>
        <w:rPr>
          <w:sz w:val="20"/>
          <w:szCs w:val="20"/>
          <w:color w:val="auto"/>
        </w:rPr>
      </w:pPr>
    </w:p>
    <w:p>
      <w:pPr>
        <w:sectPr>
          <w:pgSz w:w="11900" w:h="16838" w:orient="portrait"/>
          <w:cols w:equalWidth="0" w:num="2">
            <w:col w:w="6460" w:space="520"/>
            <w:col w:w="4440"/>
          </w:cols>
          <w:pgMar w:left="240" w:top="1137"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10(g)(2)</w:t>
            </w:r>
          </w:p>
        </w:tc>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First Amendment to The Scotts Company Executive Retirement Plan,</w:t>
            </w:r>
          </w:p>
        </w:tc>
      </w:tr>
      <w:tr>
        <w:trPr>
          <w:trHeight w:val="228"/>
        </w:trPr>
        <w:tc>
          <w:tcPr>
            <w:tcW w:w="940" w:type="dxa"/>
            <w:vAlign w:val="bottom"/>
          </w:tcPr>
          <w:p>
            <w:pPr>
              <w:spacing w:after="0"/>
              <w:rPr>
                <w:sz w:val="19"/>
                <w:szCs w:val="19"/>
                <w:color w:val="auto"/>
              </w:rPr>
            </w:pPr>
          </w:p>
        </w:tc>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effective as of January 1, 1999</w:t>
            </w:r>
          </w:p>
        </w:tc>
      </w:tr>
      <w:tr>
        <w:trPr>
          <w:trHeight w:val="63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10(g)(3)</w:t>
            </w:r>
          </w:p>
        </w:tc>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Second Amendment to The Scotts Company Executive Retirement Plan,</w:t>
            </w:r>
          </w:p>
        </w:tc>
      </w:tr>
      <w:tr>
        <w:trPr>
          <w:trHeight w:val="228"/>
        </w:trPr>
        <w:tc>
          <w:tcPr>
            <w:tcW w:w="940" w:type="dxa"/>
            <w:vAlign w:val="bottom"/>
          </w:tcPr>
          <w:p>
            <w:pPr>
              <w:spacing w:after="0"/>
              <w:rPr>
                <w:sz w:val="19"/>
                <w:szCs w:val="19"/>
                <w:color w:val="auto"/>
              </w:rPr>
            </w:pPr>
          </w:p>
        </w:tc>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effective as of January 1, 2000</w:t>
            </w:r>
          </w:p>
        </w:tc>
      </w:tr>
      <w:tr>
        <w:trPr>
          <w:trHeight w:val="326"/>
        </w:trPr>
        <w:tc>
          <w:tcPr>
            <w:tcW w:w="9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Pr>
          <w:p>
            <w:pPr>
              <w:spacing w:after="0"/>
              <w:rPr>
                <w:sz w:val="24"/>
                <w:szCs w:val="24"/>
                <w:color w:val="auto"/>
              </w:rPr>
            </w:pPr>
          </w:p>
        </w:tc>
      </w:tr>
      <w:tr>
        <w:trPr>
          <w:trHeight w:val="316"/>
        </w:trPr>
        <w:tc>
          <w:tcPr>
            <w:tcW w:w="940" w:type="dxa"/>
            <w:vAlign w:val="bottom"/>
          </w:tcPr>
          <w:p>
            <w:pPr>
              <w:spacing w:after="0"/>
              <w:rPr>
                <w:sz w:val="24"/>
                <w:szCs w:val="24"/>
                <w:color w:val="auto"/>
              </w:rPr>
            </w:pPr>
          </w:p>
        </w:tc>
        <w:tc>
          <w:tcPr>
            <w:tcW w:w="5080" w:type="dxa"/>
            <w:vAlign w:val="bottom"/>
            <w:gridSpan w:val="2"/>
          </w:tcPr>
          <w:p>
            <w:pPr>
              <w:ind w:left="4640"/>
              <w:spacing w:after="0"/>
              <w:rPr>
                <w:sz w:val="20"/>
                <w:szCs w:val="20"/>
                <w:color w:val="auto"/>
              </w:rPr>
            </w:pPr>
            <w:r>
              <w:rPr>
                <w:rFonts w:ascii="Times New Roman" w:cs="Times New Roman" w:eastAsia="Times New Roman" w:hAnsi="Times New Roman"/>
                <w:sz w:val="18"/>
                <w:szCs w:val="18"/>
                <w:b w:val="1"/>
                <w:bCs w:val="1"/>
                <w:color w:val="auto"/>
              </w:rPr>
              <w:t>102</w:t>
            </w: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10(g)(2)]</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2001 (File No. 1-13292) [Exhibit 10(g)(3)]</w:t>
      </w:r>
    </w:p>
    <w:p>
      <w:pPr>
        <w:sectPr>
          <w:pgSz w:w="11900" w:h="16838" w:orient="portrait"/>
          <w:cols w:equalWidth="0" w:num="2">
            <w:col w:w="6380" w:space="600"/>
            <w:col w:w="4440"/>
          </w:cols>
          <w:pgMar w:left="240" w:top="1137" w:right="239" w:bottom="1440" w:gutter="0" w:footer="0" w:header="0"/>
          <w:type w:val="continuous"/>
        </w:sectPr>
      </w:pPr>
    </w:p>
    <w:bookmarkStart w:id="104" w:name="page105"/>
    <w:bookmarkEnd w:id="104"/>
    <w:p>
      <w:pPr>
        <w:ind w:left="22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20"/>
        <w:spacing w:after="0"/>
        <w:tabs>
          <w:tab w:leader="none" w:pos="3560" w:val="left"/>
          <w:tab w:leader="none" w:pos="8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153"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10(g)(4)</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Third Amendment to The Scotts Company Executive Retirement Plan,</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effective as of January 1, 2003</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10(g)(5)</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Fourth Amendment to The Scotts Company Executive Retirement Plan,</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effective as of January 1, 2004</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10(h)</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Employment Agreement, dated as of May 19, 1995, between the Registrant</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James Hagedorn</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10(i)</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Letter agreement, dated June 8, 2000, between the Registrant and Patrick J.</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Norton</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10(j)</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Letter agreement, dated November 5, 2002, pertaining to the terms of</w:t>
            </w:r>
          </w:p>
        </w:tc>
      </w:tr>
      <w:tr>
        <w:trPr>
          <w:trHeight w:val="216"/>
        </w:trPr>
        <w:tc>
          <w:tcPr>
            <w:tcW w:w="880" w:type="dxa"/>
            <w:vAlign w:val="bottom"/>
          </w:tcPr>
          <w:p>
            <w:pPr>
              <w:spacing w:after="0"/>
              <w:rPr>
                <w:sz w:val="18"/>
                <w:szCs w:val="18"/>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of Mr. Norton through December 31, 2005, and superseding</w:t>
            </w:r>
          </w:p>
        </w:tc>
      </w:tr>
      <w:tr>
        <w:trPr>
          <w:trHeight w:val="216"/>
        </w:trPr>
        <w:tc>
          <w:tcPr>
            <w:tcW w:w="880" w:type="dxa"/>
            <w:vAlign w:val="bottom"/>
          </w:tcPr>
          <w:p>
            <w:pPr>
              <w:spacing w:after="0"/>
              <w:rPr>
                <w:sz w:val="18"/>
                <w:szCs w:val="18"/>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certain provisions of the letter agreement, dated June 8, 2000, between the</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Registrant and Mr. Norton</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Written description of employment terms between the Registrant and David</w:t>
            </w:r>
          </w:p>
        </w:tc>
      </w:tr>
      <w:tr>
        <w:trPr>
          <w:trHeight w:val="216"/>
        </w:trPr>
        <w:tc>
          <w:tcPr>
            <w:tcW w:w="880" w:type="dxa"/>
            <w:vAlign w:val="bottom"/>
          </w:tcPr>
          <w:p>
            <w:pPr>
              <w:spacing w:after="0"/>
              <w:rPr>
                <w:sz w:val="18"/>
                <w:szCs w:val="18"/>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M. Aronowitz, Michael P. Kelty, Ph.D., Christopher L. Nagel and Denise S.</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Stump</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Scotts Company 2003 Stock Option and Incentive Equity Plan</w:t>
            </w:r>
          </w:p>
        </w:tc>
      </w:tr>
      <w:tr>
        <w:trPr>
          <w:trHeight w:val="8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10(m)</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Letter agreement, dated April 23, 2003, between the Registrant and Robert F.</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Bernstock</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10(n)</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Employment Agreement and Covenant Not to Compete, effective October 1,</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2004, between The Scotts Company and Robert F. Bernstock</w:t>
            </w:r>
          </w:p>
        </w:tc>
      </w:tr>
      <w:tr>
        <w:trPr>
          <w:trHeight w:val="6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10(o)</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First Amendment to Employment Agreement and Covenant Not to Compete,</w:t>
            </w:r>
          </w:p>
        </w:tc>
      </w:tr>
      <w:tr>
        <w:trPr>
          <w:trHeight w:val="216"/>
        </w:trPr>
        <w:tc>
          <w:tcPr>
            <w:tcW w:w="880" w:type="dxa"/>
            <w:vAlign w:val="bottom"/>
          </w:tcPr>
          <w:p>
            <w:pPr>
              <w:spacing w:after="0"/>
              <w:rPr>
                <w:sz w:val="18"/>
                <w:szCs w:val="18"/>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effective October 1, 2004, between The Scotts Company and Robert F.</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Bernstock</w:t>
            </w:r>
          </w:p>
        </w:tc>
      </w:tr>
      <w:tr>
        <w:trPr>
          <w:trHeight w:val="42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10(p)</w:t>
            </w: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Second Amendment to Employment Agreement and Covenant Not to</w:t>
            </w:r>
          </w:p>
        </w:tc>
      </w:tr>
      <w:tr>
        <w:trPr>
          <w:trHeight w:val="216"/>
        </w:trPr>
        <w:tc>
          <w:tcPr>
            <w:tcW w:w="880" w:type="dxa"/>
            <w:vAlign w:val="bottom"/>
          </w:tcPr>
          <w:p>
            <w:pPr>
              <w:spacing w:after="0"/>
              <w:rPr>
                <w:sz w:val="18"/>
                <w:szCs w:val="18"/>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Compete, effective October 1, 2004, between The Scotts Company and</w:t>
            </w:r>
          </w:p>
        </w:tc>
      </w:tr>
      <w:tr>
        <w:trPr>
          <w:trHeight w:val="228"/>
        </w:trPr>
        <w:tc>
          <w:tcPr>
            <w:tcW w:w="880" w:type="dxa"/>
            <w:vAlign w:val="bottom"/>
          </w:tcPr>
          <w:p>
            <w:pPr>
              <w:spacing w:after="0"/>
              <w:rPr>
                <w:sz w:val="19"/>
                <w:szCs w:val="19"/>
                <w:color w:val="auto"/>
              </w:rPr>
            </w:pPr>
          </w:p>
        </w:tc>
        <w:tc>
          <w:tcPr>
            <w:tcW w:w="57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Robert F. Bernstock</w:t>
            </w:r>
          </w:p>
        </w:tc>
      </w:tr>
      <w:tr>
        <w:trPr>
          <w:trHeight w:val="110"/>
        </w:trPr>
        <w:tc>
          <w:tcPr>
            <w:tcW w:w="8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r>
      <w:tr>
        <w:trPr>
          <w:trHeight w:val="316"/>
        </w:trPr>
        <w:tc>
          <w:tcPr>
            <w:tcW w:w="880" w:type="dxa"/>
            <w:vAlign w:val="bottom"/>
          </w:tcPr>
          <w:p>
            <w:pPr>
              <w:spacing w:after="0"/>
              <w:rPr>
                <w:sz w:val="24"/>
                <w:szCs w:val="24"/>
                <w:color w:val="auto"/>
              </w:rPr>
            </w:pPr>
          </w:p>
        </w:tc>
        <w:tc>
          <w:tcPr>
            <w:tcW w:w="5140" w:type="dxa"/>
            <w:vAlign w:val="bottom"/>
            <w:gridSpan w:val="2"/>
          </w:tcPr>
          <w:p>
            <w:pPr>
              <w:ind w:left="4700"/>
              <w:spacing w:after="0"/>
              <w:rPr>
                <w:sz w:val="20"/>
                <w:szCs w:val="20"/>
                <w:color w:val="auto"/>
              </w:rPr>
            </w:pPr>
            <w:r>
              <w:rPr>
                <w:rFonts w:ascii="Times New Roman" w:cs="Times New Roman" w:eastAsia="Times New Roman" w:hAnsi="Times New Roman"/>
                <w:sz w:val="18"/>
                <w:szCs w:val="18"/>
                <w:b w:val="1"/>
                <w:bCs w:val="1"/>
                <w:color w:val="auto"/>
              </w:rPr>
              <w:t>103</w:t>
            </w: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10(g)(4)]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1995 (File No. 1-11593) [Exhibit 10(p)]</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2000 (File No. 1-13292) [Exhibit 10(q)]</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2002 (File No. 1-13292) [Exhibit 10(q)]</w:t>
      </w:r>
    </w:p>
    <w:p>
      <w:pPr>
        <w:spacing w:after="0" w:line="200" w:lineRule="exact"/>
        <w:rPr>
          <w:sz w:val="20"/>
          <w:szCs w:val="20"/>
          <w:color w:val="auto"/>
        </w:rPr>
      </w:pP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10(k)]</w:t>
      </w:r>
    </w:p>
    <w:p>
      <w:pPr>
        <w:spacing w:after="0" w:line="18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Incorporated herein by reference to the Registrant’s Quarterly Report on Form 10-Q for the quarterly period ended December 28, 2002 (File No. 1-13292) [Exhibit 10(w)]</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Quarterly Report on Form 10-Q for the quarterly period ended June 28, 2003 (File No. 1-13292) [Exhibit 10(x)]</w:t>
      </w:r>
    </w:p>
    <w:p>
      <w:pPr>
        <w:spacing w:after="0" w:line="18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10.1]</w:t>
      </w:r>
    </w:p>
    <w:p>
      <w:pPr>
        <w:spacing w:after="0" w:line="18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10.2]</w:t>
      </w:r>
    </w:p>
    <w:p>
      <w:pPr>
        <w:spacing w:after="0" w:line="18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10.3]</w:t>
      </w:r>
    </w:p>
    <w:p>
      <w:pPr>
        <w:sectPr>
          <w:pgSz w:w="11900" w:h="16838" w:orient="portrait"/>
          <w:cols w:equalWidth="0" w:num="2">
            <w:col w:w="6600" w:space="380"/>
            <w:col w:w="4340"/>
          </w:cols>
          <w:pgMar w:left="240" w:top="1153" w:right="339" w:bottom="1440" w:gutter="0" w:footer="0" w:header="0"/>
          <w:type w:val="continuous"/>
        </w:sectPr>
      </w:pPr>
    </w:p>
    <w:bookmarkStart w:id="105" w:name="page106"/>
    <w:bookmarkEnd w:id="105"/>
    <w:p>
      <w:pPr>
        <w:ind w:left="220"/>
        <w:spacing w:after="0"/>
        <w:rPr>
          <w:sz w:val="20"/>
          <w:szCs w:val="20"/>
          <w:color w:val="auto"/>
        </w:rPr>
      </w:pPr>
      <w:r>
        <w:rPr>
          <w:rFonts w:ascii="Times New Roman" w:cs="Times New Roman" w:eastAsia="Times New Roman" w:hAnsi="Times New Roman"/>
          <w:sz w:val="14"/>
          <w:szCs w:val="14"/>
          <w:color w:val="auto"/>
        </w:rPr>
        <w:t>Exhibit</w:t>
      </w:r>
    </w:p>
    <w:p>
      <w:pPr>
        <w:spacing w:after="0" w:line="1" w:lineRule="exact"/>
        <w:rPr>
          <w:sz w:val="20"/>
          <w:szCs w:val="20"/>
          <w:color w:val="auto"/>
        </w:rPr>
      </w:pPr>
    </w:p>
    <w:p>
      <w:pPr>
        <w:ind w:left="320"/>
        <w:spacing w:after="0"/>
        <w:tabs>
          <w:tab w:leader="none" w:pos="3560" w:val="left"/>
          <w:tab w:leader="none" w:pos="89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2"/>
          <w:szCs w:val="12"/>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Scotts Company 2003 Stock Option and Incentive Equity Plan Award</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for Nondirectors, effective as of October 1, 2004, between The</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Scotts Company and Robert F. Bernstock, in respect of grant of 25,000 shares</w:t>
            </w:r>
          </w:p>
        </w:tc>
      </w:tr>
      <w:tr>
        <w:trPr>
          <w:trHeight w:val="228"/>
        </w:trPr>
        <w:tc>
          <w:tcPr>
            <w:tcW w:w="780" w:type="dxa"/>
            <w:vAlign w:val="bottom"/>
          </w:tcPr>
          <w:p>
            <w:pPr>
              <w:spacing w:after="0"/>
              <w:rPr>
                <w:sz w:val="19"/>
                <w:szCs w:val="19"/>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restricted stock</w:t>
            </w:r>
          </w:p>
        </w:tc>
      </w:tr>
      <w:tr>
        <w:trPr>
          <w:trHeight w:val="4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10(r)</w:t>
            </w: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Amendment to The Scotts Company 2003 Stock Option and Incentive Equity</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 Award Agreement for Nondirectors, effective as of October 1, 2004,</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between The Scotts Company and Robert F. Bernstock, in respect of June 2,</w:t>
            </w:r>
          </w:p>
        </w:tc>
      </w:tr>
      <w:tr>
        <w:trPr>
          <w:trHeight w:val="228"/>
        </w:trPr>
        <w:tc>
          <w:tcPr>
            <w:tcW w:w="780" w:type="dxa"/>
            <w:vAlign w:val="bottom"/>
          </w:tcPr>
          <w:p>
            <w:pPr>
              <w:spacing w:after="0"/>
              <w:rPr>
                <w:sz w:val="19"/>
                <w:szCs w:val="19"/>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2003 award of freestanding stock appreciation rights</w:t>
            </w:r>
          </w:p>
        </w:tc>
      </w:tr>
      <w:tr>
        <w:trPr>
          <w:trHeight w:val="42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10(s)</w:t>
            </w: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Amendment to The Scotts Company 2003 Stock Option and Incentive Equity</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 Award Agreement for Nondirectors, effective as of October 1, 2004,</w:t>
            </w:r>
          </w:p>
        </w:tc>
      </w:tr>
      <w:tr>
        <w:trPr>
          <w:trHeight w:val="216"/>
        </w:trPr>
        <w:tc>
          <w:tcPr>
            <w:tcW w:w="780" w:type="dxa"/>
            <w:vAlign w:val="bottom"/>
          </w:tcPr>
          <w:p>
            <w:pPr>
              <w:spacing w:after="0"/>
              <w:rPr>
                <w:sz w:val="18"/>
                <w:szCs w:val="18"/>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between The Scotts Company and Robert F. Bernstock, in respect of</w:t>
            </w:r>
          </w:p>
        </w:tc>
      </w:tr>
      <w:tr>
        <w:trPr>
          <w:trHeight w:val="228"/>
        </w:trPr>
        <w:tc>
          <w:tcPr>
            <w:tcW w:w="780" w:type="dxa"/>
            <w:vAlign w:val="bottom"/>
          </w:tcPr>
          <w:p>
            <w:pPr>
              <w:spacing w:after="0"/>
              <w:rPr>
                <w:sz w:val="19"/>
                <w:szCs w:val="19"/>
                <w:color w:val="auto"/>
              </w:rPr>
            </w:pP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19, 2003 award of freestanding stock appreciation rights</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10(t)</w:t>
            </w:r>
          </w:p>
        </w:tc>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1996 Stock Option Plan Award Agreement</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10.4]</w:t>
      </w:r>
    </w:p>
    <w:p>
      <w:pPr>
        <w:spacing w:after="0" w:line="200" w:lineRule="exact"/>
        <w:rPr>
          <w:sz w:val="20"/>
          <w:szCs w:val="20"/>
          <w:color w:val="auto"/>
        </w:rPr>
      </w:pPr>
    </w:p>
    <w:p>
      <w:pPr>
        <w:spacing w:after="0" w:line="20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10.5]</w:t>
      </w:r>
    </w:p>
    <w:p>
      <w:pPr>
        <w:spacing w:after="0" w:line="200" w:lineRule="exact"/>
        <w:rPr>
          <w:sz w:val="20"/>
          <w:szCs w:val="20"/>
          <w:color w:val="auto"/>
        </w:rPr>
      </w:pPr>
    </w:p>
    <w:p>
      <w:pPr>
        <w:spacing w:after="0" w:line="20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10.6]</w:t>
      </w:r>
    </w:p>
    <w:p>
      <w:pPr>
        <w:spacing w:after="0" w:line="200" w:lineRule="exact"/>
        <w:rPr>
          <w:sz w:val="20"/>
          <w:szCs w:val="20"/>
          <w:color w:val="auto"/>
        </w:rPr>
      </w:pPr>
    </w:p>
    <w:p>
      <w:pPr>
        <w:spacing w:after="0" w:line="203"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10.7]</w:t>
      </w:r>
    </w:p>
    <w:p>
      <w:pPr>
        <w:spacing w:after="0" w:line="186" w:lineRule="exact"/>
        <w:rPr>
          <w:sz w:val="20"/>
          <w:szCs w:val="20"/>
          <w:color w:val="auto"/>
        </w:rPr>
      </w:pPr>
    </w:p>
    <w:p>
      <w:pPr>
        <w:sectPr>
          <w:pgSz w:w="11900" w:h="16838" w:orient="portrait"/>
          <w:cols w:equalWidth="0" w:num="2">
            <w:col w:w="6640" w:space="340"/>
            <w:col w:w="4440"/>
          </w:cols>
          <w:pgMar w:left="240" w:top="115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10(u)</w:t>
            </w: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Form of 2003 Stock Option and Incentive Equity Plan Award Agreement for</w:t>
            </w:r>
          </w:p>
        </w:tc>
      </w:tr>
      <w:tr>
        <w:trPr>
          <w:trHeight w:val="228"/>
        </w:trPr>
        <w:tc>
          <w:tcPr>
            <w:tcW w:w="80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Nondirectors</w:t>
            </w:r>
          </w:p>
        </w:tc>
      </w:tr>
      <w:tr>
        <w:trPr>
          <w:trHeight w:val="6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10(v)</w:t>
            </w: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Form of 2003 Stock Option and Incentive Equity Plan Award Agreement for</w:t>
            </w:r>
          </w:p>
        </w:tc>
      </w:tr>
      <w:tr>
        <w:trPr>
          <w:trHeight w:val="228"/>
        </w:trPr>
        <w:tc>
          <w:tcPr>
            <w:tcW w:w="80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Directors</w:t>
            </w:r>
          </w:p>
        </w:tc>
      </w:tr>
      <w:tr>
        <w:trPr>
          <w:trHeight w:val="6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10(w)</w:t>
            </w: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Exclusive Distributor Agreement — Horticulture, effective as of June 22,</w:t>
            </w:r>
          </w:p>
        </w:tc>
      </w:tr>
      <w:tr>
        <w:trPr>
          <w:trHeight w:val="228"/>
        </w:trPr>
        <w:tc>
          <w:tcPr>
            <w:tcW w:w="80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1998, between the Registrant and AgrEvo USA Company</w:t>
            </w:r>
          </w:p>
        </w:tc>
      </w:tr>
      <w:tr>
        <w:trPr>
          <w:trHeight w:val="6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10(x)</w:t>
            </w: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Amended and Restated Exclusive Agency and Marketing Agreement, dated</w:t>
            </w:r>
          </w:p>
        </w:tc>
      </w:tr>
      <w:tr>
        <w:trPr>
          <w:trHeight w:val="216"/>
        </w:trPr>
        <w:tc>
          <w:tcPr>
            <w:tcW w:w="800" w:type="dxa"/>
            <w:vAlign w:val="bottom"/>
          </w:tcPr>
          <w:p>
            <w:pPr>
              <w:spacing w:after="0"/>
              <w:rPr>
                <w:sz w:val="18"/>
                <w:szCs w:val="18"/>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of September 30, 1998, between Monsanto Company (now Pharmacia</w:t>
            </w:r>
          </w:p>
        </w:tc>
      </w:tr>
      <w:tr>
        <w:trPr>
          <w:trHeight w:val="228"/>
        </w:trPr>
        <w:tc>
          <w:tcPr>
            <w:tcW w:w="800" w:type="dxa"/>
            <w:vAlign w:val="bottom"/>
          </w:tcPr>
          <w:p>
            <w:pPr>
              <w:spacing w:after="0"/>
              <w:rPr>
                <w:sz w:val="19"/>
                <w:szCs w:val="19"/>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Corporation) and the Registrant**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Code of Business Conduct and Ethics of the Registrant</w:t>
            </w:r>
          </w:p>
        </w:tc>
      </w:tr>
    </w:tbl>
    <w:p>
      <w:pPr>
        <w:spacing w:after="0" w:line="20" w:lineRule="exact"/>
        <w:rPr>
          <w:sz w:val="20"/>
          <w:szCs w:val="20"/>
          <w:color w:val="auto"/>
        </w:rPr>
      </w:pPr>
      <w:r>
        <w:rPr>
          <w:sz w:val="20"/>
          <w:szCs w:val="20"/>
          <w:color w:val="auto"/>
        </w:rPr>
        <w:br w:type="column"/>
      </w: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10.8]</w:t>
      </w:r>
    </w:p>
    <w:p>
      <w:pPr>
        <w:spacing w:after="0" w:line="186"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Current Report on Form 8-K dated November 19, 2004 (File No. 1-13292) [Exhibit 10.9]</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1998 (File No. 1-11593) [Exhibit 10(v)]</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1999 (File No. 1-11593) [Exhibit 10(v)]</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Incorporated herein by reference to the Registrant’s Annual Report on Form 10-K for the fiscal year ended September 30, 2003 (File No. 1-13292) [Exhibit 14]</w:t>
      </w:r>
    </w:p>
    <w:p>
      <w:pPr>
        <w:spacing w:after="0" w:line="186" w:lineRule="exact"/>
        <w:rPr>
          <w:sz w:val="20"/>
          <w:szCs w:val="20"/>
          <w:color w:val="auto"/>
        </w:rPr>
      </w:pPr>
    </w:p>
    <w:p>
      <w:pPr>
        <w:sectPr>
          <w:pgSz w:w="11900" w:h="16838" w:orient="portrait"/>
          <w:cols w:equalWidth="0" w:num="2">
            <w:col w:w="6560" w:space="420"/>
            <w:col w:w="4440"/>
          </w:cols>
          <w:pgMar w:left="240" w:top="1153" w:right="2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54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5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54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7"/>
              </w:rPr>
              <w:t>Rule 13a-14(a)/15d-14(a) Certification (Principal Executive Officer)</w:t>
            </w:r>
          </w:p>
        </w:tc>
        <w:tc>
          <w:tcPr>
            <w:tcW w:w="5400" w:type="dxa"/>
            <w:vAlign w:val="bottom"/>
          </w:tcPr>
          <w:p>
            <w:pPr>
              <w:jc w:val="right"/>
              <w:ind w:right="4272"/>
              <w:spacing w:after="0"/>
              <w:rPr>
                <w:sz w:val="20"/>
                <w:szCs w:val="20"/>
                <w:color w:val="auto"/>
              </w:rPr>
            </w:pPr>
            <w:r>
              <w:rPr>
                <w:rFonts w:ascii="Times New Roman" w:cs="Times New Roman" w:eastAsia="Times New Roman" w:hAnsi="Times New Roman"/>
                <w:sz w:val="18"/>
                <w:szCs w:val="18"/>
                <w:color w:val="auto"/>
              </w:rPr>
              <w:t>*</w:t>
            </w:r>
          </w:p>
        </w:tc>
      </w:tr>
      <w:tr>
        <w:trPr>
          <w:trHeight w:val="110"/>
        </w:trPr>
        <w:tc>
          <w:tcPr>
            <w:tcW w:w="7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0" w:type="dxa"/>
            <w:vAlign w:val="bottom"/>
          </w:tcPr>
          <w:p>
            <w:pPr>
              <w:spacing w:after="0"/>
              <w:rPr>
                <w:sz w:val="9"/>
                <w:szCs w:val="9"/>
                <w:color w:val="auto"/>
              </w:rPr>
            </w:pPr>
          </w:p>
        </w:tc>
      </w:tr>
      <w:tr>
        <w:trPr>
          <w:trHeight w:val="316"/>
        </w:trPr>
        <w:tc>
          <w:tcPr>
            <w:tcW w:w="780" w:type="dxa"/>
            <w:vAlign w:val="bottom"/>
          </w:tcPr>
          <w:p>
            <w:pPr>
              <w:spacing w:after="0"/>
              <w:rPr>
                <w:sz w:val="24"/>
                <w:szCs w:val="24"/>
                <w:color w:val="auto"/>
              </w:rPr>
            </w:pPr>
          </w:p>
        </w:tc>
        <w:tc>
          <w:tcPr>
            <w:tcW w:w="5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104</w:t>
            </w:r>
          </w:p>
        </w:tc>
        <w:tc>
          <w:tcPr>
            <w:tcW w:w="5400" w:type="dxa"/>
            <w:vAlign w:val="bottom"/>
          </w:tcPr>
          <w:p>
            <w:pPr>
              <w:spacing w:after="0"/>
              <w:rPr>
                <w:sz w:val="24"/>
                <w:szCs w:val="24"/>
                <w:color w:val="auto"/>
              </w:rPr>
            </w:pPr>
          </w:p>
        </w:tc>
      </w:tr>
      <w:tr>
        <w:trPr>
          <w:trHeight w:val="228"/>
        </w:trPr>
        <w:tc>
          <w:tcPr>
            <w:tcW w:w="7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Exhibit</w:t>
            </w:r>
          </w:p>
        </w:tc>
        <w:tc>
          <w:tcPr>
            <w:tcW w:w="6680" w:type="dxa"/>
            <w:vAlign w:val="bottom"/>
          </w:tcPr>
          <w:p>
            <w:pPr>
              <w:spacing w:after="0"/>
              <w:rPr>
                <w:sz w:val="13"/>
                <w:szCs w:val="13"/>
                <w:color w:val="auto"/>
              </w:rPr>
            </w:pPr>
          </w:p>
        </w:tc>
        <w:tc>
          <w:tcPr>
            <w:tcW w:w="3760" w:type="dxa"/>
            <w:vAlign w:val="bottom"/>
          </w:tcPr>
          <w:p>
            <w:pPr>
              <w:spacing w:after="0"/>
              <w:rPr>
                <w:sz w:val="13"/>
                <w:szCs w:val="13"/>
                <w:color w:val="auto"/>
              </w:rPr>
            </w:pPr>
          </w:p>
        </w:tc>
      </w:tr>
      <w:tr>
        <w:trPr>
          <w:trHeight w:val="17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68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60" w:type="dxa"/>
            <w:vAlign w:val="bottom"/>
          </w:tcPr>
          <w:p>
            <w:pPr>
              <w:jc w:val="right"/>
              <w:ind w:right="1419"/>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95"/>
        </w:trPr>
        <w:tc>
          <w:tcPr>
            <w:tcW w:w="980" w:type="dxa"/>
            <w:vAlign w:val="bottom"/>
            <w:tcBorders>
              <w:bottom w:val="single" w:sz="8" w:color="808080"/>
            </w:tcBorders>
          </w:tcPr>
          <w:p>
            <w:pPr>
              <w:spacing w:after="0"/>
              <w:rPr>
                <w:sz w:val="8"/>
                <w:szCs w:val="8"/>
                <w:color w:val="auto"/>
              </w:rPr>
            </w:pPr>
          </w:p>
        </w:tc>
        <w:tc>
          <w:tcPr>
            <w:tcW w:w="668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r>
      <w:tr>
        <w:trPr>
          <w:trHeight w:val="3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13a-14(a)/15d-14(a) Certification (Principal Financial Officer)</w:t>
            </w:r>
          </w:p>
        </w:tc>
        <w:tc>
          <w:tcPr>
            <w:tcW w:w="3760" w:type="dxa"/>
            <w:vAlign w:val="bottom"/>
          </w:tcPr>
          <w:p>
            <w:pPr>
              <w:jc w:val="right"/>
              <w:ind w:right="3359"/>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(Principal Executive Officer and Principal Financial Officer)</w:t>
            </w:r>
          </w:p>
        </w:tc>
        <w:tc>
          <w:tcPr>
            <w:tcW w:w="3760" w:type="dxa"/>
            <w:vAlign w:val="bottom"/>
          </w:tcPr>
          <w:p>
            <w:pPr>
              <w:jc w:val="right"/>
              <w:ind w:right="3359"/>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0" w:hanging="308"/>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360" w:right="340" w:hanging="352"/>
        <w:spacing w:after="0" w:line="275"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based upon an Order Granting Confidential Treatment from the Securities and Exchange Commission (“SEC”), dated August 23, 2002, extending through 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3860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w:t>
      </w:r>
    </w:p>
    <w:p>
      <w:pPr>
        <w:sectPr>
          <w:pgSz w:w="11900" w:h="16838" w:orient="portrait"/>
          <w:cols w:equalWidth="0" w:num="1">
            <w:col w:w="11420"/>
          </w:cols>
          <w:pgMar w:left="240" w:top="1137"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10(g)(5)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COMPANY</w:t>
      </w:r>
    </w:p>
    <w:p>
      <w:pPr>
        <w:spacing w:after="0" w:line="19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EXECUTIVE RETIREMENT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Scotts Company (“Company”) sponsors The Scotts Company Executive Retirement Plan (“Plan”);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wants to amend the Plan’s definition of “Compensation” and to make additional changes to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effective as of January 1, 2004:</w:t>
      </w:r>
    </w:p>
    <w:p>
      <w:pPr>
        <w:spacing w:after="0" w:line="229"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“Administrative Committee” in Section II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60"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Committee” means (a) the administrative committee appointed by the Board to administer the tax-qualified retirement plans which are also sponsored by the Employer or (b) any person or entity to which the Administrative Committee delegates any of the administrative or ministerial duties assigned to it in this Plan.</w:t>
      </w:r>
    </w:p>
    <w:p>
      <w:pPr>
        <w:spacing w:after="0" w:line="17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“Compensation” in Section II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has the meaning specified under the applicable provisions of the Qualified Plan, except that Compensation in excess of the Pay Cap and amounts deferred to this Plan shall be included. Executive Incentive Pay shall be: (a) in Compensation for purposes of allocating Employer contributions to Participants’ Retirement Accounts and (b) shall be excluded from Compensation for purposes of allocating Employer contributions to Participants’ Matching Accounts and Participants’ Compensation Deferral Elections.</w:t>
      </w:r>
    </w:p>
    <w:p>
      <w:pPr>
        <w:spacing w:after="0" w:line="18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of Section IV, B.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60" w:right="40" w:firstLine="216"/>
        <w:spacing w:after="0" w:line="255" w:lineRule="auto"/>
        <w:tabs>
          <w:tab w:leader="none" w:pos="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Year, an Eligible Employee may elect to have a percentage of his Executive Incentive Pay which is to be awarded to him by the Employer for the Plan Year in question allocated to his Deferred Executive Incentive Pay Account and paid on a deferred basis pursuant to the terms of the Plan. To exercise such an election for any Plan Year, within thirty (30) days after the Executive Annual Incentive Plan is finalized for the Plan Year, the Eligible Employee must advise the Employer of his election, in writing or by filing his election electronically using procedures prescribed by the Administrative Committee, on an Executive Incentive Pay Deferral Election. Such Executive Incentive Pay Deferral Election shall apply only to Executive Incentive Pay payable to the Participant after the date on which the Executive Incentive Pay Deferral Election is received by the Administrative Committee. If an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ind w:left="252"/>
        <w:spacing w:after="0" w:line="282" w:lineRule="auto"/>
        <w:rPr>
          <w:sz w:val="20"/>
          <w:szCs w:val="20"/>
          <w:color w:val="auto"/>
        </w:rPr>
      </w:pPr>
      <w:r>
        <w:rPr>
          <w:rFonts w:ascii="Times New Roman" w:cs="Times New Roman" w:eastAsia="Times New Roman" w:hAnsi="Times New Roman"/>
          <w:sz w:val="18"/>
          <w:szCs w:val="18"/>
          <w:color w:val="auto"/>
        </w:rPr>
        <w:t>Employee terminates employment or changes to an employment status other than an Eligible Employee, his election to defer Executive Incentive Pay shall terminate and no additional amounts shall be deferred.</w:t>
      </w:r>
    </w:p>
    <w:p>
      <w:pPr>
        <w:spacing w:after="0" w:line="162" w:lineRule="exact"/>
        <w:rPr>
          <w:sz w:val="20"/>
          <w:szCs w:val="20"/>
          <w:color w:val="auto"/>
        </w:rPr>
      </w:pPr>
    </w:p>
    <w:p>
      <w:pPr>
        <w:ind w:left="252" w:hanging="252"/>
        <w:spacing w:after="0"/>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of Section IV, C.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52" w:right="40" w:firstLine="216"/>
        <w:spacing w:after="0" w:line="252" w:lineRule="auto"/>
        <w:tabs>
          <w:tab w:leader="none" w:pos="73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pay period, subject to the maximum percentage deferral permitted under the terms of the Qualified Plan, an Eligible Employee may elect to have a percentage of his Compensation which is to be paid to him by the Employer for the pay period in question allocated to his Deferred Compensation Account and paid on a deferred basis pursuant to the terms of the Plan. To exercise such election for any Plan Year, within thirty (30) days prior to the beginning of such Plan Year, the Eligible Employee must advise the Employer of his election, in writing or by filing his election electronically using procedures prescribed by the Administrative Committee, on a Compensation Deferral Election. Such Compensation Deferral Election shall apply only to Compensation payable to the Participant after the date on which the Compensation Deferral Election is received by the Administrative Committee. If an Eligible Employee terminates employment or changes to an employment status other than an Eligible Employee, his election to defer Compensation shall terminate and no additional amounts shall be deferred. A Participant shall be permitted, pursuant to this Section IV.C. to defer amounts of his Compensation that could otherwise have been contributed to the Qualified Plan, for such Plan Year, were it not for the application of any of the Statutory Limits. If, during the Plan Year, in the sole discretion of the Administrative Committee and the administrator of the Qualified Plan, contribution percentages under the Qualified Plan must be further reduced to insure passage of the ADP Test and/or the ACP Test, or Participants’ contributions to the Qualified Plan must be reduced to satisfy the Deferral Limit, any reduced contribution attributable to Participants of this Plan shall be deferred automatically under this Plan. However, if it is determined after the end of the Plan Year that the ADP and/or the ACP Test would be failed, any and all corrective action will be taken in accordance with the rules of the Qualified Plan and no additional amounts may be deferred under this Plan for that Plan Year.</w:t>
      </w:r>
    </w:p>
    <w:p>
      <w:pPr>
        <w:spacing w:after="0" w:line="197"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of Section IV, D.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52" w:right="140" w:firstLine="216"/>
        <w:spacing w:after="0" w:line="266" w:lineRule="auto"/>
        <w:tabs>
          <w:tab w:leader="none" w:pos="73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Contribution.</w:t>
      </w:r>
      <w:r>
        <w:rPr>
          <w:rFonts w:ascii="Times New Roman" w:cs="Times New Roman" w:eastAsia="Times New Roman" w:hAnsi="Times New Roman"/>
          <w:sz w:val="18"/>
          <w:szCs w:val="18"/>
          <w:color w:val="auto"/>
        </w:rPr>
        <w:t xml:space="preserve"> For each pay period, the Employer will allocate to each Eligible Employee’s Retirement Account an amount equal to the Retirement Contribution he would have received under the Qualified Plan with respect to his Compensation (as defined in Section II of this Plan) minus the Retirement Contribution actually allocated under the Qualified Plan.</w:t>
      </w:r>
    </w:p>
    <w:p>
      <w:pPr>
        <w:spacing w:after="0" w:line="176"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(2) of Section IV, D. of the Plan is amended, in its entirety, to read as follows:</w:t>
      </w:r>
    </w:p>
    <w:p>
      <w:pPr>
        <w:spacing w:after="0" w:line="225" w:lineRule="exact"/>
        <w:rPr>
          <w:rFonts w:ascii="Times New Roman" w:cs="Times New Roman" w:eastAsia="Times New Roman" w:hAnsi="Times New Roman"/>
          <w:sz w:val="18"/>
          <w:szCs w:val="18"/>
          <w:color w:val="auto"/>
        </w:rPr>
      </w:pPr>
    </w:p>
    <w:p>
      <w:pPr>
        <w:ind w:left="252" w:right="240" w:firstLine="216"/>
        <w:spacing w:after="0" w:line="282" w:lineRule="auto"/>
        <w:tabs>
          <w:tab w:leader="none" w:pos="7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Matching Contributions.</w:t>
      </w:r>
      <w:r>
        <w:rPr>
          <w:rFonts w:ascii="Times New Roman" w:cs="Times New Roman" w:eastAsia="Times New Roman" w:hAnsi="Times New Roman"/>
          <w:sz w:val="18"/>
          <w:szCs w:val="18"/>
          <w:color w:val="auto"/>
        </w:rPr>
        <w:t xml:space="preserve"> For each pay period, the Employer shall make matching contributions to the Matching Account of each Participant who elects to defer Compensation in accordance with Section IV.C. For each pay period, the amount of such</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09" w:name="page110"/>
    <w:bookmarkEnd w:id="109"/>
    <w:p>
      <w:pPr>
        <w:ind w:left="260" w:right="100"/>
        <w:spacing w:after="0" w:line="282" w:lineRule="auto"/>
        <w:rPr>
          <w:sz w:val="20"/>
          <w:szCs w:val="20"/>
          <w:color w:val="auto"/>
        </w:rPr>
      </w:pPr>
      <w:r>
        <w:rPr>
          <w:rFonts w:ascii="Times New Roman" w:cs="Times New Roman" w:eastAsia="Times New Roman" w:hAnsi="Times New Roman"/>
          <w:sz w:val="18"/>
          <w:szCs w:val="18"/>
          <w:color w:val="auto"/>
        </w:rPr>
        <w:t>matching contribution will be the matching contribution that would have been made under the Qualified Plan applied against the aggregate of deferrals to the Qualified Plan and this Plan less any matching contributions made on behalf of the Participant under the Qualified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Section IV, F. of the Plan is amended, in its entirety, to read as follows:</w:t>
      </w:r>
    </w:p>
    <w:p>
      <w:pPr>
        <w:spacing w:after="0" w:line="225" w:lineRule="exact"/>
        <w:rPr>
          <w:sz w:val="20"/>
          <w:szCs w:val="20"/>
          <w:color w:val="auto"/>
        </w:rPr>
      </w:pPr>
    </w:p>
    <w:p>
      <w:pPr>
        <w:ind w:left="260" w:right="20" w:firstLine="225"/>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Outside Investment Funds.</w:t>
      </w:r>
      <w:r>
        <w:rPr>
          <w:rFonts w:ascii="Times New Roman" w:cs="Times New Roman" w:eastAsia="Times New Roman" w:hAnsi="Times New Roman"/>
          <w:sz w:val="18"/>
          <w:szCs w:val="18"/>
          <w:color w:val="auto"/>
        </w:rPr>
        <w:t xml:space="preserve"> Each Participant shall direct the portion of future contributions to, and the existing balance in, the Participant’s Account to be treated as credited to one or more of the Outside Investment Funds. A Participant may change his or her direction among the Outside Investment Funds as of any business day by providing instructions in such manner as may be prescribed by the Administrative Committee, subject to any applicable restrictions under an Outside Investment Fund. If a Participant does not designate one or more of the Outside Investment Funds, his Accounts will be credited to the Fidelity Retirement Money Market Portfolio Fund or to a successor fund identified by the Administrative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Section V, B. of the Plan is amended, in its entirety, to read as follows:</w:t>
      </w:r>
    </w:p>
    <w:p>
      <w:pPr>
        <w:spacing w:after="0" w:line="225" w:lineRule="exact"/>
        <w:rPr>
          <w:sz w:val="20"/>
          <w:szCs w:val="20"/>
          <w:color w:val="auto"/>
        </w:rPr>
      </w:pPr>
    </w:p>
    <w:p>
      <w:pPr>
        <w:ind w:left="260" w:firstLine="225"/>
        <w:spacing w:after="0" w:line="25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Method of Distribution.</w:t>
      </w:r>
      <w:r>
        <w:rPr>
          <w:rFonts w:ascii="Times New Roman" w:cs="Times New Roman" w:eastAsia="Times New Roman" w:hAnsi="Times New Roman"/>
          <w:sz w:val="18"/>
          <w:szCs w:val="18"/>
          <w:color w:val="auto"/>
        </w:rPr>
        <w:t xml:space="preserve"> Amounts credited to a Participant’s Account shall be distributed to the Participant either in a single lump sum payment or in substantially equal annual installments over a period less than ten (10) years. To the extent that an Account is distributed in installment payments, the undisbursed portions of such Account shall continue to be credited with Additions in accordance with the applicable provisions of Section IV.H. In addition, if, as of any business day after the date described in Section V.A., the amount allocated to a Participant’s Account is less than $5,000, the Administrative Committee shall pay such amount to the Participant and reduce the balance of his Account to zero. The method of distribution shall be elected by the Participant in the Executive Incentive Pay Deferral Election and Compensation Deferral Election delivered to the Administrative Committee at the time the applicable deferral election is made. Distributions of amounts credited to Investment Funds other than the Company Stock Fund shall be made in cash. Distributions of amounts credited to the Company Stock Fund shall be distributed in the greatest whole number of common shares of the Company which can be distributed based on the amount credited to the Company Stock Fund (after any applicable withholding), plus cash for any fractional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amendment to be executed as of the 5th day of May, 2004.</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THE SCOTTS COMPANY</w:t>
      </w:r>
    </w:p>
    <w:p>
      <w:pPr>
        <w:spacing w:after="0" w:line="2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A. Murphy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George A. Murphy, Vice President</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Global Compensation and Benefits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931" w:right="2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1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SUBSIDIARIES OF THE SCOTTS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Systems, Inc., dba Scotts LawnService, an Indiana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Hyponex Corporation, 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OMS Investments, Inc., a Delaware corporation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Scotts Temecula Operations, LLC,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Sanford Scientific, Inc., a New York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 Global Services, Inc., a Nevada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 Manufacturing Company, a Delaware corporation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Miracle-Gro Lawn Products, Inc., a New York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 Products Company, an Ohio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 Professional Products Co., an Ohio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Scotts-Sierra Horticultural Products Company, a California corporation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Scotts-Sierra Crop Protection Company, a California corporation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Scotts-Sierra Investments, Inc., a Delaware corporation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ASEF BV (Netherlands)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Australia Pty Ltd. (Australia)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Benelux BVBA (Belgium)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Canada Ltd. (Canada)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Chile Limitada (Chile)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Czech s.r.o.(Czech Republic)</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de Mexico SA de CV (Mexico)</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Scotts Company (Nordic) AS (Denmark)</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Finland Oy (Finland)</w:t>
      </w:r>
    </w:p>
    <w:p>
      <w:pPr>
        <w:spacing w:after="0" w:line="9"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8"/>
          <w:szCs w:val="18"/>
          <w:color w:val="auto"/>
        </w:rPr>
        <w:t>Scotts France Holdings SARL (France)</w:t>
      </w:r>
    </w:p>
    <w:p>
      <w:pPr>
        <w:spacing w:after="0" w:line="9"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18"/>
          <w:szCs w:val="18"/>
          <w:color w:val="auto"/>
        </w:rPr>
        <w:t>Scotts France SARL (France)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Scotts France SAS (France)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Holding GmbH (Germany)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Scotts Celaflor GmbH &amp; Co. KG (Germany)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Scotts Celaflor HGmbH (Austria)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Holdings Limited (United Kingdom)</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Levington Group Ltd. (United Kingdom)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Scotts Company (UK) Ltd. (United Kingdom)</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Scotts Company (Manufacturing) Ltd. (United Kingdom)</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OM Scott International Investments Ltd. (United Kingdom)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Corwen Home and Garden Limited (United Kingdom)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Scotts International B.V. (Netherlands)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Scotts Deutschland GmbH (Germany)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Scott O.M. Espana S.A. (Spain)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Scotts Profi HGmbH (Austria)</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Scotts Italia S.r.l. (Italy)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Scotts Horticulture Ltd. (Ireland)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Hungary KFT (Hungary)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Scotts Company Italia S.r.l. (Italy)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Japan, Ltd. (Japan)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Scotts Company Kenya Ltd. (Kenya)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PBG Malaysia Sdn. Bhd. (Malaysia)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Norway AS (Norway)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Poland Sp.z.o.o. (Poland)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Scotts Sweden AB (Sweden)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Hawken, Ltd.,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208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8" w:lineRule="exact"/>
        <w:rPr>
          <w:sz w:val="20"/>
          <w:szCs w:val="20"/>
          <w:color w:val="auto"/>
        </w:rPr>
      </w:pPr>
    </w:p>
    <w:p>
      <w:pPr>
        <w:ind w:left="920" w:hanging="435"/>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wholly-owned</w:t>
      </w:r>
    </w:p>
    <w:p>
      <w:pPr>
        <w:sectPr>
          <w:pgSz w:w="11900" w:h="16838" w:orient="portrait"/>
          <w:cols w:equalWidth="0" w:num="1">
            <w:col w:w="11420"/>
          </w:cols>
          <w:pgMar w:left="240" w:top="931"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85" w:lineRule="exact"/>
        <w:rPr>
          <w:sz w:val="20"/>
          <w:szCs w:val="20"/>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333-98239) and Form S-8 (File Nos. 033-47073, 033-60056, 333-06061, 333-27561, 333-72715, 333-76697 and 333-104490) of The Scotts Company of our reports dated November 22, 2004 relating to the financial statements and financial statement schedule, which appear in this Form 10-K for the year ending September 30, 2004.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2004</w:t>
      </w:r>
    </w:p>
    <w:p>
      <w:pPr>
        <w:sectPr>
          <w:pgSz w:w="11900" w:h="16838" w:orient="portrait"/>
          <w:cols w:equalWidth="0" w:num="1">
            <w:col w:w="11420"/>
          </w:cols>
          <w:pgMar w:left="240" w:top="931"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225" w:lineRule="exact"/>
        <w:rPr>
          <w:sz w:val="20"/>
          <w:szCs w:val="20"/>
          <w:color w:val="auto"/>
        </w:rPr>
      </w:pPr>
    </w:p>
    <w:p>
      <w:pPr>
        <w:ind w:left="580" w:hanging="234"/>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Company for the fiscal year ended September 30, 2004;</w:t>
      </w:r>
    </w:p>
    <w:p>
      <w:pPr>
        <w:spacing w:after="0" w:line="225" w:lineRule="exact"/>
        <w:rPr>
          <w:rFonts w:ascii="Times New Roman" w:cs="Times New Roman" w:eastAsia="Times New Roman" w:hAnsi="Times New Roman"/>
          <w:sz w:val="18"/>
          <w:szCs w:val="18"/>
          <w:color w:val="auto"/>
        </w:rPr>
      </w:pPr>
    </w:p>
    <w:p>
      <w:pPr>
        <w:jc w:val="both"/>
        <w:ind w:left="580" w:right="360" w:hanging="234"/>
        <w:spacing w:after="0" w:line="266"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234"/>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560" w:hanging="234"/>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700" w:right="40" w:firstLine="218"/>
        <w:spacing w:after="0" w:line="266" w:lineRule="auto"/>
        <w:tabs>
          <w:tab w:leader="none" w:pos="11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00" w:right="540" w:firstLine="218"/>
        <w:spacing w:after="0" w:line="282" w:lineRule="auto"/>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700" w:firstLine="218"/>
        <w:spacing w:after="0" w:line="282" w:lineRule="auto"/>
        <w:tabs>
          <w:tab w:leader="none" w:pos="11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80" w:right="240" w:hanging="234"/>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00" w:right="780" w:firstLine="218"/>
        <w:spacing w:after="0" w:line="282" w:lineRule="auto"/>
        <w:tabs>
          <w:tab w:leader="none" w:pos="11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00" w:right="460" w:firstLine="218"/>
        <w:spacing w:after="0" w:line="282" w:lineRule="auto"/>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November 22, 2004</w:t>
      </w:r>
      <w:r>
        <w:rPr>
          <w:sz w:val="20"/>
          <w:szCs w:val="20"/>
          <w:color w:val="auto"/>
        </w:rPr>
        <w:tab/>
      </w:r>
      <w:r>
        <w:rPr>
          <w:rFonts w:ascii="Times New Roman" w:cs="Times New Roman" w:eastAsia="Times New Roman" w:hAnsi="Times New Roman"/>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26035</wp:posOffset>
            </wp:positionV>
            <wp:extent cx="37649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James Hagedorn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Chairman of the Board</w:t>
      </w:r>
    </w:p>
    <w:p>
      <w:pPr>
        <w:sectPr>
          <w:pgSz w:w="11900" w:h="16838" w:orient="portrait"/>
          <w:cols w:equalWidth="0" w:num="1">
            <w:col w:w="11420"/>
          </w:cols>
          <w:pgMar w:left="240" w:top="931"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Nagel, certify that:</w:t>
      </w:r>
    </w:p>
    <w:p>
      <w:pPr>
        <w:spacing w:after="0" w:line="225" w:lineRule="exact"/>
        <w:rPr>
          <w:sz w:val="20"/>
          <w:szCs w:val="20"/>
          <w:color w:val="auto"/>
        </w:rPr>
      </w:pPr>
    </w:p>
    <w:p>
      <w:pPr>
        <w:ind w:left="580" w:hanging="234"/>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Company for the fiscal year ended September 30, 2004;</w:t>
      </w:r>
    </w:p>
    <w:p>
      <w:pPr>
        <w:spacing w:after="0" w:line="225" w:lineRule="exact"/>
        <w:rPr>
          <w:rFonts w:ascii="Times New Roman" w:cs="Times New Roman" w:eastAsia="Times New Roman" w:hAnsi="Times New Roman"/>
          <w:sz w:val="18"/>
          <w:szCs w:val="18"/>
          <w:color w:val="auto"/>
        </w:rPr>
      </w:pPr>
    </w:p>
    <w:p>
      <w:pPr>
        <w:jc w:val="both"/>
        <w:ind w:left="580" w:right="360" w:hanging="234"/>
        <w:spacing w:after="0" w:line="266"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234"/>
        <w:spacing w:after="0" w:line="282"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560" w:hanging="234"/>
        <w:spacing w:after="0" w:line="282"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700" w:right="40" w:firstLine="218"/>
        <w:spacing w:after="0" w:line="266" w:lineRule="auto"/>
        <w:tabs>
          <w:tab w:leader="none" w:pos="11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00" w:right="540" w:firstLine="218"/>
        <w:spacing w:after="0" w:line="282" w:lineRule="auto"/>
        <w:tabs>
          <w:tab w:leader="none" w:pos="11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700" w:firstLine="218"/>
        <w:spacing w:after="0" w:line="282" w:lineRule="auto"/>
        <w:tabs>
          <w:tab w:leader="none" w:pos="11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580" w:right="240" w:hanging="234"/>
        <w:spacing w:after="0" w:line="282"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00" w:right="780" w:firstLine="218"/>
        <w:spacing w:after="0" w:line="282" w:lineRule="auto"/>
        <w:tabs>
          <w:tab w:leader="none" w:pos="117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00" w:right="460" w:firstLine="218"/>
        <w:spacing w:after="0" w:line="282" w:lineRule="auto"/>
        <w:tabs>
          <w:tab w:leader="none" w:pos="11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 November 22, 2004</w:t>
      </w:r>
      <w:r>
        <w:rPr>
          <w:sz w:val="20"/>
          <w:szCs w:val="20"/>
          <w:color w:val="auto"/>
        </w:rPr>
        <w:tab/>
      </w:r>
      <w:r>
        <w:rPr>
          <w:rFonts w:ascii="Times New Roman" w:cs="Times New Roman" w:eastAsia="Times New Roman" w:hAnsi="Times New Roman"/>
          <w:sz w:val="17"/>
          <w:szCs w:val="17"/>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26035</wp:posOffset>
            </wp:positionV>
            <wp:extent cx="37649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Christopher L. Nagel</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931"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185"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Scotts Company (the “Company”) on Form 10-K for the fiscal year ended September 30, 2004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84" w:lineRule="exact"/>
        <w:rPr>
          <w:sz w:val="20"/>
          <w:szCs w:val="20"/>
          <w:color w:val="auto"/>
        </w:rPr>
      </w:pPr>
    </w:p>
    <w:p>
      <w:pPr>
        <w:ind w:left="960" w:hanging="26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26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580" w:type="dxa"/>
            <w:vAlign w:val="bottom"/>
          </w:tcPr>
          <w:p>
            <w:pPr>
              <w:spacing w:after="0"/>
              <w:rPr>
                <w:sz w:val="20"/>
                <w:szCs w:val="20"/>
                <w:color w:val="auto"/>
              </w:rPr>
            </w:pPr>
          </w:p>
        </w:tc>
        <w:tc>
          <w:tcPr>
            <w:tcW w:w="44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 Christopher L. Nagel</w:t>
            </w:r>
          </w:p>
        </w:tc>
      </w:tr>
      <w:tr>
        <w:trPr>
          <w:trHeight w:val="211"/>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Nagel</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and Chairman of the Board</w:t>
            </w:r>
          </w:p>
        </w:tc>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432"/>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2004</w:t>
            </w:r>
          </w:p>
        </w:tc>
        <w:tc>
          <w:tcPr>
            <w:tcW w:w="58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2004</w:t>
            </w:r>
          </w:p>
        </w:tc>
      </w:tr>
    </w:tbl>
    <w:p>
      <w:pPr>
        <w:spacing w:after="0" w:line="157" w:lineRule="exact"/>
        <w:rPr>
          <w:sz w:val="20"/>
          <w:szCs w:val="20"/>
          <w:color w:val="auto"/>
        </w:rPr>
      </w:pPr>
    </w:p>
    <w:p>
      <w:pPr>
        <w:ind w:left="140" w:hanging="132"/>
        <w:spacing w:after="0"/>
        <w:tabs>
          <w:tab w:leader="none" w:pos="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w:t>
      </w:r>
    </w:p>
    <w:p>
      <w:pPr>
        <w:spacing w:after="0" w:line="27" w:lineRule="exact"/>
        <w:rPr>
          <w:rFonts w:ascii="Times New Roman" w:cs="Times New Roman" w:eastAsia="Times New Roman" w:hAnsi="Times New Roman"/>
          <w:sz w:val="18"/>
          <w:szCs w:val="18"/>
          <w:color w:val="auto"/>
        </w:rPr>
      </w:pPr>
    </w:p>
    <w:p>
      <w:pPr>
        <w:ind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lvl w:ilvl="1">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lvl w:ilvl="1">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decimal"/>
      <w:start w:val="3"/>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lvl w:ilvl="1">
      <w:lvlJc w:val="left"/>
      <w:lvlText w:val="(%2)"/>
      <w:numFmt w:val="decimal"/>
      <w:start w:val="1"/>
    </w:lvl>
  </w:abstractNum>
  <w:abstractNum w:abstractNumId="35">
    <w:nsid w:val="5E884ADC"/>
    <w:multiLevelType w:val="hybridMultilevel"/>
    <w:lvl w:ilvl="0">
      <w:lvlJc w:val="left"/>
      <w:lvlText w:val="%1."/>
      <w:numFmt w:val="decimal"/>
      <w:start w:val="4"/>
    </w:lvl>
    <w:lvl w:ilvl="1">
      <w:lvlJc w:val="left"/>
      <w:lvlText w:val="(%2)"/>
      <w:numFmt w:val="decimal"/>
      <w:start w:val="1"/>
    </w:lvl>
  </w:abstractNum>
  <w:abstractNum w:abstractNumId="36">
    <w:nsid w:val="51EAD36B"/>
    <w:multiLevelType w:val="hybridMultilevel"/>
    <w:lvl w:ilvl="0">
      <w:lvlJc w:val="left"/>
      <w:lvlText w:val="%1"/>
      <w:numFmt w:val="decimal"/>
      <w:start w:val="1"/>
    </w:lvl>
    <w:lvl w:ilvl="1">
      <w:lvlJc w:val="left"/>
      <w:lvlText w:val="(%2)"/>
      <w:numFmt w:val="decimal"/>
      <w:start w:val="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2019-12-20T06:18:02Z</dcterms:created>
  <dcterms:modified xsi:type="dcterms:W3CDTF">2019-12-20T06:18:02Z</dcterms:modified>
</cp:coreProperties>
</file>