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For the quarterly period ended March 30, 2019</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OHIO</w:t>
            </w:r>
          </w:p>
        </w:tc>
        <w:tc>
          <w:tcPr>
            <w:tcW w:w="1160" w:type="dxa"/>
            <w:vAlign w:val="bottom"/>
          </w:tcPr>
          <w:p>
            <w:pPr>
              <w:jc w:val="right"/>
              <w:ind w:right="83"/>
              <w:spacing w:after="0"/>
              <w:rPr>
                <w:sz w:val="20"/>
                <w:szCs w:val="20"/>
                <w:color w:val="auto"/>
              </w:rPr>
            </w:pPr>
            <w:r>
              <w:rPr>
                <w:rFonts w:ascii="Arial" w:cs="Arial" w:eastAsia="Arial" w:hAnsi="Arial"/>
                <w:sz w:val="17"/>
                <w:szCs w:val="17"/>
                <w:b w:val="1"/>
                <w:bCs w:val="1"/>
                <w:color w:val="auto"/>
              </w:rPr>
              <w:t>31-1414921</w:t>
            </w:r>
          </w:p>
        </w:tc>
      </w:tr>
      <w:tr>
        <w:trPr>
          <w:trHeight w:val="184"/>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93"/>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w w:val="95"/>
              </w:rPr>
              <w:t>14111 SCOTTSLAWN ROAD,</w:t>
            </w:r>
          </w:p>
        </w:tc>
        <w:tc>
          <w:tcPr>
            <w:tcW w:w="1160" w:type="dxa"/>
            <w:vAlign w:val="bottom"/>
          </w:tcPr>
          <w:p>
            <w:pPr>
              <w:spacing w:after="0"/>
              <w:rPr>
                <w:sz w:val="24"/>
                <w:szCs w:val="24"/>
                <w:color w:val="auto"/>
              </w:rPr>
            </w:pP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MARYSVILLE, OHIO</w:t>
            </w:r>
          </w:p>
        </w:tc>
        <w:tc>
          <w:tcPr>
            <w:tcW w:w="1160" w:type="dxa"/>
            <w:vAlign w:val="bottom"/>
          </w:tcPr>
          <w:p>
            <w:pPr>
              <w:jc w:val="right"/>
              <w:ind w:right="283"/>
              <w:spacing w:after="0"/>
              <w:rPr>
                <w:sz w:val="20"/>
                <w:szCs w:val="20"/>
                <w:color w:val="auto"/>
              </w:rPr>
            </w:pPr>
            <w:r>
              <w:rPr>
                <w:rFonts w:ascii="Arial" w:cs="Arial" w:eastAsia="Arial" w:hAnsi="Arial"/>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320" w:type="dxa"/>
            <w:vAlign w:val="bottom"/>
          </w:tcPr>
          <w:p>
            <w:pPr>
              <w:jc w:val="center"/>
              <w:ind w:left="2100"/>
              <w:spacing w:after="0"/>
              <w:rPr>
                <w:sz w:val="20"/>
                <w:szCs w:val="20"/>
                <w:color w:val="auto"/>
              </w:rPr>
            </w:pPr>
            <w:r>
              <w:rPr>
                <w:rFonts w:ascii="Arial" w:cs="Arial" w:eastAsia="Arial" w:hAnsi="Arial"/>
                <w:sz w:val="17"/>
                <w:szCs w:val="17"/>
                <w:b w:val="1"/>
                <w:bCs w:val="1"/>
                <w:color w:val="auto"/>
                <w:w w:val="91"/>
              </w:rPr>
              <w:t>(937) 644-0011</w:t>
            </w:r>
          </w:p>
        </w:tc>
        <w:tc>
          <w:tcPr>
            <w:tcW w:w="1160" w:type="dxa"/>
            <w:vAlign w:val="bottom"/>
          </w:tcPr>
          <w:p>
            <w:pPr>
              <w:spacing w:after="0"/>
              <w:rPr>
                <w:sz w:val="24"/>
                <w:szCs w:val="24"/>
                <w:color w:val="auto"/>
              </w:rPr>
            </w:pPr>
          </w:p>
        </w:tc>
      </w:tr>
      <w:tr>
        <w:trPr>
          <w:trHeight w:val="170"/>
        </w:trPr>
        <w:tc>
          <w:tcPr>
            <w:tcW w:w="6320" w:type="dxa"/>
            <w:vAlign w:val="bottom"/>
          </w:tcPr>
          <w:p>
            <w:pPr>
              <w:jc w:val="center"/>
              <w:ind w:left="2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4"/>
                <w:szCs w:val="14"/>
                <w:color w:val="auto"/>
              </w:rPr>
            </w:pPr>
          </w:p>
        </w:tc>
      </w:tr>
      <w:tr>
        <w:trPr>
          <w:trHeight w:val="227"/>
        </w:trPr>
        <w:tc>
          <w:tcPr>
            <w:tcW w:w="6320" w:type="dxa"/>
            <w:vAlign w:val="bottom"/>
          </w:tcPr>
          <w:p>
            <w:pPr>
              <w:jc w:val="center"/>
              <w:ind w:left="2060"/>
              <w:spacing w:after="0"/>
              <w:rPr>
                <w:sz w:val="20"/>
                <w:szCs w:val="20"/>
                <w:color w:val="auto"/>
              </w:rPr>
            </w:pPr>
            <w:r>
              <w:rPr>
                <w:rFonts w:ascii="Arial" w:cs="Arial" w:eastAsia="Arial" w:hAnsi="Arial"/>
                <w:sz w:val="18"/>
                <w:szCs w:val="18"/>
                <w:color w:val="auto"/>
                <w:w w:val="89"/>
              </w:rPr>
              <w:t>______________________________________________</w:t>
            </w:r>
          </w:p>
        </w:tc>
        <w:tc>
          <w:tcPr>
            <w:tcW w:w="11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8"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560" w:type="dxa"/>
        <w:tblCellMar>
          <w:top w:w="0" w:type="dxa"/>
          <w:left w:w="0" w:type="dxa"/>
          <w:bottom w:w="0" w:type="dxa"/>
          <w:right w:w="0" w:type="dxa"/>
        </w:tblCellMar>
      </w:tblPr>
      <w:tr>
        <w:trPr>
          <w:trHeight w:val="269"/>
        </w:trPr>
        <w:tc>
          <w:tcPr>
            <w:tcW w:w="2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6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000" w:type="dxa"/>
            <w:vAlign w:val="bottom"/>
          </w:tcPr>
          <w:p>
            <w:pPr>
              <w:ind w:left="260"/>
              <w:spacing w:after="0"/>
              <w:rPr>
                <w:sz w:val="20"/>
                <w:szCs w:val="20"/>
                <w:color w:val="auto"/>
              </w:rPr>
            </w:pPr>
            <w:r>
              <w:rPr>
                <w:rFonts w:ascii="Arial" w:cs="Arial" w:eastAsia="Arial" w:hAnsi="Arial"/>
                <w:sz w:val="17"/>
                <w:szCs w:val="17"/>
                <w:color w:val="auto"/>
              </w:rPr>
              <w:t>Accelerated filer</w:t>
            </w:r>
          </w:p>
        </w:tc>
        <w:tc>
          <w:tcPr>
            <w:tcW w:w="940" w:type="dxa"/>
            <w:vAlign w:val="bottom"/>
          </w:tcPr>
          <w:p>
            <w:pPr>
              <w:ind w:left="860"/>
              <w:spacing w:after="0"/>
              <w:rPr>
                <w:sz w:val="20"/>
                <w:szCs w:val="20"/>
                <w:color w:val="auto"/>
              </w:rPr>
            </w:pPr>
            <w:r>
              <w:rPr>
                <w:rFonts w:ascii="Arial" w:cs="Arial" w:eastAsia="Arial" w:hAnsi="Arial"/>
                <w:sz w:val="15"/>
                <w:szCs w:val="15"/>
                <w:color w:val="auto"/>
                <w:w w:val="71"/>
              </w:rPr>
              <w:t>o</w:t>
            </w:r>
          </w:p>
        </w:tc>
      </w:tr>
      <w:tr>
        <w:trPr>
          <w:trHeight w:val="250"/>
        </w:trPr>
        <w:tc>
          <w:tcPr>
            <w:tcW w:w="2820" w:type="dxa"/>
            <w:vAlign w:val="bottom"/>
          </w:tcPr>
          <w:p>
            <w:pPr>
              <w:spacing w:after="0"/>
              <w:rPr>
                <w:sz w:val="20"/>
                <w:szCs w:val="20"/>
                <w:color w:val="auto"/>
              </w:rPr>
            </w:pPr>
            <w:r>
              <w:rPr>
                <w:rFonts w:ascii="Arial" w:cs="Arial" w:eastAsia="Arial" w:hAnsi="Arial"/>
                <w:sz w:val="17"/>
                <w:szCs w:val="17"/>
                <w:color w:val="auto"/>
              </w:rPr>
              <w:t>Non-accelerated filer</w:t>
            </w:r>
          </w:p>
        </w:tc>
        <w:tc>
          <w:tcPr>
            <w:tcW w:w="1360" w:type="dxa"/>
            <w:vAlign w:val="bottom"/>
          </w:tcPr>
          <w:p>
            <w:pPr>
              <w:ind w:left="940"/>
              <w:spacing w:after="0"/>
              <w:rPr>
                <w:sz w:val="20"/>
                <w:szCs w:val="20"/>
                <w:color w:val="auto"/>
              </w:rPr>
            </w:pPr>
            <w:r>
              <w:rPr>
                <w:rFonts w:ascii="Arial" w:cs="Arial" w:eastAsia="Arial" w:hAnsi="Arial"/>
                <w:sz w:val="17"/>
                <w:szCs w:val="17"/>
                <w:color w:val="auto"/>
              </w:rPr>
              <w:t>o</w:t>
            </w:r>
          </w:p>
        </w:tc>
        <w:tc>
          <w:tcPr>
            <w:tcW w:w="3000" w:type="dxa"/>
            <w:vAlign w:val="bottom"/>
          </w:tcPr>
          <w:p>
            <w:pPr>
              <w:ind w:left="260"/>
              <w:spacing w:after="0"/>
              <w:rPr>
                <w:sz w:val="20"/>
                <w:szCs w:val="20"/>
                <w:color w:val="auto"/>
              </w:rPr>
            </w:pPr>
            <w:r>
              <w:rPr>
                <w:rFonts w:ascii="Arial" w:cs="Arial" w:eastAsia="Arial" w:hAnsi="Arial"/>
                <w:sz w:val="17"/>
                <w:szCs w:val="17"/>
                <w:color w:val="auto"/>
              </w:rPr>
              <w:t>Smaller reporting company</w:t>
            </w:r>
          </w:p>
        </w:tc>
        <w:tc>
          <w:tcPr>
            <w:tcW w:w="940" w:type="dxa"/>
            <w:vAlign w:val="bottom"/>
          </w:tcPr>
          <w:p>
            <w:pPr>
              <w:ind w:left="860"/>
              <w:spacing w:after="0"/>
              <w:rPr>
                <w:sz w:val="20"/>
                <w:szCs w:val="20"/>
                <w:color w:val="auto"/>
              </w:rPr>
            </w:pPr>
            <w:r>
              <w:rPr>
                <w:rFonts w:ascii="Arial" w:cs="Arial" w:eastAsia="Arial" w:hAnsi="Arial"/>
                <w:sz w:val="15"/>
                <w:szCs w:val="15"/>
                <w:color w:val="auto"/>
                <w:w w:val="71"/>
              </w:rPr>
              <w:t>o</w:t>
            </w:r>
          </w:p>
        </w:tc>
      </w:tr>
      <w:tr>
        <w:trPr>
          <w:trHeight w:val="270"/>
        </w:trPr>
        <w:tc>
          <w:tcPr>
            <w:tcW w:w="28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360" w:type="dxa"/>
            <w:vAlign w:val="bottom"/>
          </w:tcPr>
          <w:p>
            <w:pPr>
              <w:ind w:left="940"/>
              <w:spacing w:after="0"/>
              <w:rPr>
                <w:sz w:val="20"/>
                <w:szCs w:val="20"/>
                <w:color w:val="auto"/>
              </w:rPr>
            </w:pPr>
            <w:r>
              <w:rPr>
                <w:rFonts w:ascii="Arial" w:cs="Arial" w:eastAsia="Arial" w:hAnsi="Arial"/>
                <w:sz w:val="17"/>
                <w:szCs w:val="17"/>
                <w:color w:val="auto"/>
              </w:rPr>
              <w:t>o</w:t>
            </w:r>
          </w:p>
        </w:tc>
        <w:tc>
          <w:tcPr>
            <w:tcW w:w="300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94"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96" w:lineRule="exact"/>
        <w:tabs>
          <w:tab w:leader="none" w:pos="792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41" w:lineRule="exact"/>
        <w:rPr>
          <w:sz w:val="24"/>
          <w:szCs w:val="24"/>
          <w:color w:val="auto"/>
        </w:rPr>
      </w:pPr>
    </w:p>
    <w:p>
      <w:pPr>
        <w:ind w:left="3620"/>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97" w:lineRule="exact"/>
        <w:rPr>
          <w:sz w:val="24"/>
          <w:szCs w:val="24"/>
          <w:color w:val="auto"/>
        </w:rPr>
      </w:pPr>
    </w:p>
    <w:p>
      <w:pPr>
        <w:ind w:left="1080"/>
        <w:spacing w:after="0"/>
        <w:tabs>
          <w:tab w:leader="none" w:pos="4520" w:val="left"/>
          <w:tab w:leader="none" w:pos="77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68" w:lineRule="exact"/>
        <w:rPr>
          <w:sz w:val="24"/>
          <w:szCs w:val="24"/>
          <w:color w:val="auto"/>
        </w:rPr>
      </w:pPr>
    </w:p>
    <w:p>
      <w:pPr>
        <w:ind w:left="440"/>
        <w:spacing w:after="0"/>
        <w:tabs>
          <w:tab w:leader="none" w:pos="4940" w:val="left"/>
          <w:tab w:leader="none" w:pos="894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7"/>
          <w:szCs w:val="17"/>
          <w:color w:val="auto"/>
        </w:rPr>
        <w:t>NYSE</w:t>
      </w:r>
    </w:p>
    <w:p>
      <w:pPr>
        <w:spacing w:after="0" w:line="87" w:lineRule="exact"/>
        <w:rPr>
          <w:sz w:val="24"/>
          <w:szCs w:val="24"/>
          <w:color w:val="auto"/>
        </w:rPr>
      </w:pPr>
    </w:p>
    <w:p>
      <w:pPr>
        <w:spacing w:after="0"/>
        <w:rPr>
          <w:sz w:val="20"/>
          <w:szCs w:val="20"/>
          <w:color w:val="auto"/>
        </w:rPr>
      </w:pPr>
      <w:r>
        <w:rPr>
          <w:rFonts w:ascii="Arial" w:cs="Arial" w:eastAsia="Arial" w:hAnsi="Arial"/>
          <w:sz w:val="17"/>
          <w:szCs w:val="17"/>
          <w:color w:val="auto"/>
        </w:rPr>
        <w:t>As of May 3, 2019, there were 55,471,465 Common Shares outstanding.</w:t>
      </w:r>
    </w:p>
    <w:p>
      <w:pPr>
        <w:sectPr>
          <w:pgSz w:w="11900" w:h="16838" w:orient="portrait"/>
          <w:cols w:equalWidth="0" w:num="1">
            <w:col w:w="11420"/>
          </w:cols>
          <w:pgMar w:left="240" w:top="234" w:right="23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8"/>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8"/>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Operations — Three and six months ended March 30, 2019 and March 31, 2018</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(Loss) — Three and six months ended March 30, 2019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2018</w:t>
              </w:r>
            </w:hyperlink>
          </w:p>
        </w:tc>
        <w:tc>
          <w:tcPr>
            <w:tcW w:w="10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Six months ended March 30, 2019 and March 31, 2018</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60" w:type="dxa"/>
            <w:vAlign w:val="bottom"/>
            <w:tcBorders>
              <w:top w:val="single" w:sz="8" w:color="0000EE"/>
            </w:tcBorders>
            <w:gridSpan w:val="11"/>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Balance Sheets — March 30, 2019, March 31, 2018 and September 30, 2018</w:t>
              </w:r>
            </w:hyperlink>
          </w:p>
        </w:tc>
        <w:tc>
          <w:tcPr>
            <w:tcW w:w="10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420" w:type="dxa"/>
            <w:vAlign w:val="bottom"/>
            <w:tcBorders>
              <w:top w:val="single" w:sz="8" w:color="0000EE"/>
            </w:tcBorders>
            <w:gridSpan w:val="2"/>
          </w:tcPr>
          <w:p>
            <w:pPr>
              <w:spacing w:after="0"/>
              <w:rPr>
                <w:sz w:val="21"/>
                <w:szCs w:val="21"/>
                <w:color w:val="auto"/>
              </w:rPr>
            </w:pPr>
          </w:p>
        </w:tc>
        <w:tc>
          <w:tcPr>
            <w:tcW w:w="160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2.</w:t>
              </w:r>
            </w:hyperlink>
          </w:p>
        </w:tc>
        <w:tc>
          <w:tcPr>
            <w:tcW w:w="6460" w:type="dxa"/>
            <w:vAlign w:val="bottom"/>
            <w:gridSpan w:val="11"/>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3.</w:t>
              </w:r>
            </w:hyperlink>
          </w:p>
        </w:tc>
        <w:tc>
          <w:tcPr>
            <w:tcW w:w="6460" w:type="dxa"/>
            <w:vAlign w:val="bottom"/>
            <w:gridSpan w:val="1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4.</w:t>
              </w:r>
            </w:hyperlink>
          </w:p>
        </w:tc>
        <w:tc>
          <w:tcPr>
            <w:tcW w:w="430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8"/>
          </w:tcPr>
          <w:p>
            <w:pPr>
              <w:spacing w:after="0"/>
              <w:rPr>
                <w:rFonts w:ascii="Arial" w:cs="Arial" w:eastAsia="Arial" w:hAnsi="Arial"/>
                <w:sz w:val="18"/>
                <w:szCs w:val="18"/>
                <w:color w:val="auto"/>
              </w:rPr>
            </w:pPr>
            <w:hyperlink w:anchor="page59">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1.</w:t>
              </w:r>
            </w:hyperlink>
          </w:p>
        </w:tc>
        <w:tc>
          <w:tcPr>
            <w:tcW w:w="932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020" w:type="dxa"/>
            <w:vAlign w:val="bottom"/>
            <w:gridSpan w:val="11"/>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2.</w:t>
              </w:r>
            </w:hyperlink>
          </w:p>
        </w:tc>
        <w:tc>
          <w:tcPr>
            <w:tcW w:w="932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Defaults Upon Senior Securities</w:t>
              </w:r>
            </w:hyperlink>
          </w:p>
        </w:tc>
        <w:tc>
          <w:tcPr>
            <w:tcW w:w="1980" w:type="dxa"/>
            <w:vAlign w:val="bottom"/>
            <w:gridSpan w:val="2"/>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c>
          <w:tcPr>
            <w:tcW w:w="700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56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700" w:type="dxa"/>
            <w:vAlign w:val="bottom"/>
            <w:gridSpan w:val="2"/>
          </w:tcPr>
          <w:p>
            <w:pPr>
              <w:spacing w:after="0"/>
              <w:rPr>
                <w:sz w:val="21"/>
                <w:szCs w:val="21"/>
                <w:color w:val="auto"/>
              </w:rPr>
            </w:pPr>
          </w:p>
        </w:tc>
        <w:tc>
          <w:tcPr>
            <w:tcW w:w="8020" w:type="dxa"/>
            <w:vAlign w:val="bottom"/>
            <w:gridSpan w:val="11"/>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Index to Exhibits</w:t>
              </w:r>
            </w:hyperlink>
          </w:p>
        </w:tc>
        <w:tc>
          <w:tcPr>
            <w:tcW w:w="9000" w:type="dxa"/>
            <w:vAlign w:val="bottom"/>
            <w:gridSpan w:val="1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1"/>
          </w:tcPr>
          <w:p>
            <w:pPr>
              <w:ind w:left="470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Basic income per common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Diluted income per common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Weighted-average common shares outstanding during the period plus dilutive potential</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Net foreign currency translation adjustment, including reclassifications to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of $2.5, $11.7, $2.5 and $11.7,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7"/>
              </w:rPr>
              <w:t>Net unrealized gain (loss) on derivative instruments, net of tax of $(0.8), $0.8,</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$(3.6) and $1.1, respectively</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gains on derivative instruments to net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 of $(0.7), $(0.4), $(0.7) and $(0.5),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2"/>
              </w:rPr>
              <w:t>Reclassification of net pension and other post-retirement benefit (gains) losses to</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net income, net of tax of $(0.1), $0.1, $0.2 and $0.2, respectively</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0.6</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145.6</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loss on sale of business / unconsolidated affiliate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Recognition of accumulated foreign currency translation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Equity in (income) loss and distributions from unconsolidated affiliates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Post-closing working capital payment related to sale of International Business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(investments in) loans receivable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investment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acquired businesses, net of cash acquired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1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813"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$8.8, $6.9 and $3.6,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$636.4, $614.2 and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$610.5,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543.0</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6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LIABILITIES AND EQUITY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150.5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3,334.4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shares outstanding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55.4, 55.6 and 55.3,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919.9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12.7, 12.5 and 12.8 shares,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seasonal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and six months ended March 30, 2019 and March 31, 2018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2018 (the “2018 Annual Report”), which includes a complete set of footnote disclosures, including the Company’s significant accounting policies.</w:t>
      </w:r>
    </w:p>
    <w:p>
      <w:pPr>
        <w:spacing w:after="0" w:line="9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2018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$3.6 million and $3.3 million during the six months ended March 30, 2019 and March 31, 2018, respectively,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5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MARCH 30,</w:t>
            </w:r>
          </w:p>
        </w:tc>
        <w:tc>
          <w:tcPr>
            <w:tcW w:w="400" w:type="dxa"/>
            <w:vAlign w:val="bottom"/>
          </w:tcPr>
          <w:p>
            <w:pPr>
              <w:spacing w:after="0"/>
              <w:rPr>
                <w:sz w:val="13"/>
                <w:szCs w:val="13"/>
                <w:color w:val="auto"/>
              </w:rPr>
            </w:pPr>
          </w:p>
        </w:tc>
        <w:tc>
          <w:tcPr>
            <w:tcW w:w="11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35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50"/>
        </w:trPr>
        <w:tc>
          <w:tcPr>
            <w:tcW w:w="35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center"/>
              <w:ind w:left="862"/>
              <w:spacing w:after="0"/>
              <w:rPr>
                <w:sz w:val="20"/>
                <w:szCs w:val="20"/>
                <w:color w:val="auto"/>
              </w:rPr>
            </w:pPr>
            <w:r>
              <w:rPr>
                <w:rFonts w:ascii="Arial" w:cs="Arial" w:eastAsia="Arial" w:hAnsi="Arial"/>
                <w:sz w:val="14"/>
                <w:szCs w:val="14"/>
                <w:b w:val="1"/>
                <w:bCs w:val="1"/>
                <w:color w:val="auto"/>
                <w:w w:val="96"/>
              </w:rPr>
              <w:t>(In millions)</w:t>
            </w:r>
          </w:p>
        </w:tc>
        <w:tc>
          <w:tcPr>
            <w:tcW w:w="1140" w:type="dxa"/>
            <w:vAlign w:val="bottom"/>
          </w:tcPr>
          <w:p>
            <w:pPr>
              <w:spacing w:after="0"/>
              <w:rPr>
                <w:sz w:val="21"/>
                <w:szCs w:val="2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5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(49.8)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486"/>
        </w:trPr>
        <w:tc>
          <w:tcPr>
            <w:tcW w:w="3500" w:type="dxa"/>
            <w:vAlign w:val="bottom"/>
          </w:tcPr>
          <w:p>
            <w:pPr>
              <w:spacing w:after="0"/>
              <w:rPr>
                <w:sz w:val="24"/>
                <w:szCs w:val="24"/>
                <w:color w:val="auto"/>
              </w:rPr>
            </w:pPr>
          </w:p>
        </w:tc>
        <w:tc>
          <w:tcPr>
            <w:tcW w:w="4840" w:type="dxa"/>
            <w:vAlign w:val="bottom"/>
          </w:tcPr>
          <w:p>
            <w:pPr>
              <w:jc w:val="right"/>
              <w:ind w:right="249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six months ended March 30, 2019, the Company paid a post-closing net working capital adjustment obligation of $6.6 million related to the acquisition of Sunlight Supply (as defined in “NOTE 4. ACQUISITIONS AND INVESTMENTS”) during the fiscal year ended September 30, 2018 (“fiscal 2018”), which was classified as an investing activity in the “Investments in acquired businesses, net of cash acquired” line in the Condensed Consolidated Statements of Cash Flows. During the six months ended March 31, 2018, the Company paid contingent consideration of $3.0 million related to the acquisition of Gavita Holdings B.V., and its subsidiaries (collectively, “Gavita”) during the fiscal year ended September 30, 2016 (“fiscal 2016”), which was classified as a financing activity in the “Payments on seller notes” line in the Condensed Consolidated Statements of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results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4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adopted this guidance effective October 1, 2018 under the modified retrospective approach. The Company’s revenue primarily consists of product sales, which are recognized at a point in time when title transfers to customers and the Company has no further obligation to provide services related to such products. The Company’s timing of recognition of revenue is substantially unchanged under the amended guidance. The new accounting guidance required the Company to recognize earlier certain deferred revenue associated with a license agreement related to the sale of the International Business (as defined in “NOTE 3. DISCONTINUED OPERATIONS”), resulting in a cumulative adjustment to its opening balance for the fiscal year ended September 30, 2019 (“fiscal 2019”) of retained earnings of $9.1 million, other current liabilities of $1.4 million and other liabilities of $7.7 million. With the exception of this item, the adoption of the amended accounting guidance did not have a material impact on the Company’s condensed consolidated financial statements. The additional disclosures required are presented within “NOTE 2. REVENUE RECOGNITION” and “NOTE 15. SEGMENT INFORMATION.”</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Company adopted this guidance on a retrospective basis effective October 1, 2018. The adoption of this guidance did not have a significant impact on the Company’s consolidated cash flows.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Company adopted this guidance on a prospective basis effective October 1, 2018. The adoption of this guidance did not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2017, the FASB issued an accounting standard update that requires entities to (1) disaggregate the current-service-cost component from the other components of net benefit cost (the “other components”) and present the current-service-cost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required to be applied retrospectively for the presentation of cost components in the income statement and prospectively for the capitalization of cost components. The Company adopted this guidance effective October 1, 2018 and has classified non-service-cost components of net benefit cost/income in the “Other non-operating income, net” line in the Condensed Consolidated Statements of Operations. The adoption of this guidance did not have a significant impact on the Company’s consolidated financial position, results of operations or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22, 2017, H.R.1 (the “Act,” formerly known as the “Tax Cuts and Jobs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Additionally, the Securities and Exchange Commission (the “SEC”) released Staff Accounting Bulletin No. 118 (“SAB 118”) which provides guidance on accounting for the Act’s impact under Accounting Standards Codification (“ASC”) Topic 740, Income Taxes (“ASC 740”). The guidance in SAB 118 allowed companies to use provisional estimates to record the effects of the Act and also provided a measurement period (not to exceed one year from the date of enactment) to complete the accounting for the impacts of the Act. The Company completed its accounting for the impacts of the Act during the first quarter of fiscal 2019.</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pursuant to the guidance provided under SAB 118, refer to “NOTE 11. 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Reporting Comprehensive Income</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February 2018, the FASB issued an accounting standard update that allows a reclassification from accumulated other comprehensive income to retained earnings for stranded tax effects resulting from the Act. The Company elected to adopt this guidance effective October 1, 2018, resulting in a reclassification of $16.9 million from accumulated other comprehensive income (loss) (“AOCI”) to retained earnings upon adoption.</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June 2018, the FASB issued an accounting standard update that simplifies the accounting for share-based payments granted to nonemployees for goods and services. Under the amended accounting guidance, most of the guidance on such payments to nonemployees would be aligned with the requirements for share-based payments granted to employees. The Company elected to adopt this guidance effective October 1, 2018. The adoption of this guidance did not have a significant impact on the Company’s consolidated financial position, results of operations or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February 2016, the FASB issued its final standard on lease accounting.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either (i) the date of adoption or (ii) the earliest comparative period presented in the financial statements. The Company is currently evaluating available transition methods and the impact of this standard on its consolidated results of operations, financial position and cash flows. The Company has made progress on its evaluation of the amended guidance, including identification of the population of leases affected, determining the information required to calculate the lease liability and right-of-use asset and evaluating models to assist in future reporting.</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an accounting standard update related to the measurement of credit losses on financial instruments. The amended accounting guidance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Cloud Computing Costs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2018, the FASB issued an accounting standard update that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2018, the FASB issued an accounting standard update that removes certain disclosures that are not considered cost beneficial, clarifies certain required disclosures and requires certain additional disclosures. The provisions are effective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statements no later than the fiscal year beginning October 1, 2020. The Company is continuing to assess the impact of the amended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Goods and Services</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Company (“Monsanto”) for the marketing and distribution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United States and certain other specified countries, and performs certain other services under ancillary agreements with Monsanto. The Company also provides marketing, research and development and certain ancillary services to Bonnie Plants, Inc. (“Bonnie”). Refer to “NOTE 15. SEGMENT INFORMATION” for disaggregated revenue information and “NOTE 8. MARKETING AGREEMENT” for revenue information related to the Monsanto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and Satisfaction of Performance Obligations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Product sales are recognized at a point in time when control of products transfers to customers and the Company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therefore revenue is primarily recorded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Under the terms of the Second Amended and Restated Exclusive Agency and Marketing Agreement (the “Restated Marketing Agreement”), pursuant to which the Company serves as the exclusive sales and marketing agent of Monsanto with respect to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United States and certain other specified countries,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$40.0 million for program years 2019 and thereafter. The Restated Marketing Agreement also requires the Company to make annual payments of $18.0 million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gross commission earned under the Restated Marketing Agreement and the contribution payments to Monsanto are included in the “Net sales” line in the Condensed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3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Under the terms of the Marketing, R&amp;D and Ancillary Services Agreement (the “Services Agreement”) with Bonnie and its sole shareholder, Alabama Farmers Cooperative, Inc. (“AFC”), the Company provides marketing, research and development and certain ancillary services to Bonnie. In exchange for these services, Bonnie reimburses the Company for certain costs and provides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Condensed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Transactional Price and Promotional Allowances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and Bonnie agreements is recognized over the program year as the services are being performed based upon the commission income formula in the agreements.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Condensed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Condensed Consolidated Statements of Operations. The Company excludes from revenue any amounts collected from customers for sales or other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9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the Company completed the sale on August 31, 2017.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During the three months ended March 31, 2018, the Company recorded a reduction to the gain on the sale of the International Business of $3.7 million related to the resolution of the post-closing working capital adjustment obligation.</w:t>
      </w:r>
    </w:p>
    <w:p>
      <w:pPr>
        <w:spacing w:after="0" w:line="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and six months ended March 31, 2018, the Company recognized $0.2 million and $1.6 million, respectively, in transaction related costs associated with the sale of the International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9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At March 30, 2019, March 31, 2018 and September 30, 2018, $42.5 million, zero and $85.0 million, respectively, was accrued for a probable loss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in the “Other current liabilities” line in the Condensed Consolidated Balance Sheets. This matter relates to a pending class-action lawsuit filed in 2012 in connection with the sale of wild bird food products that were the subject of a voluntary recall in 2008 by the Company’s previously sold wild bird food business. During the three and six months ended March 30, 2019, the Company received insurance reimbursement payments related to this matter of $8.4 million and $13.4 million, respectively. The Company recognized insurance recoveries of $5.0 million related to this matter in the “Income (loss) from discontinued operations, net of tax” line in the Condensed Consolidated Statements of Operations during the first quarter of fiscal 2019, and the remaining $8.4 million of reimbursements have been recognized as an accrued liability in the Condensed Consolidated Balance Sheets as of March 30, 2019 pending the finalization of the settlement. Refer to “NOTE 12. CONTINGENCIES” for more information.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condensed consolidated financial statements for each of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exit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 contribution of business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before income taxes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operating activities related to discontinued operations totaled $34.7 million and zero for the six months ended March 30, 2019 and March 31, 2018, respectively. Cash used in investing activities related to discontinued operations was zero and $35.3 million for the six months ended March 30, 2019 and March 31, 2018,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Sunlight Supply</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June 4, 2018, the Company’s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Sunlight Supply, based in Vancouver, Washington, is a leading developer, manufacturer, marketer and distributer of horticultural, organics, lighting, and hydroponics products. Prior to the transaction, Sunlight Supply served as a non-exclusive distributor of the Company. The estimated purchase price of Sunlight Supply was $458.6 million, a portion of which was paid by the issuance of 0.3 million common shares of Scotts Miracle-Gro (“Common Shares”), a non-cash investing and financing activity, with a fair value of $23.4 million based on the average share price at the time of payment. The purchase price included contingent consideration, a non-cash investing activity, with an initial fair value of $3.1 million and a maximum payout of $20.0 million, which will be paid by the Company contingent on the achievement of certain performance metrics of the Company through the one-year anniversary of the closing date. The purchase price was also subject to a post-closing net working capital adjustment which was paid during the first quarter of fiscal 2019.</w:t>
      </w:r>
    </w:p>
    <w:p>
      <w:pPr>
        <w:spacing w:after="0" w:line="9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preliminary valuation of the acquired assets included (i) $5.8 million of cash, prepaid and other current assets, (ii) $19.3 million of accounts receivable, (iii) $84.3 million of inventory, (iv) $64.4 million of fixed assets, (v) $11.7 million of accounts payable and other current liabilities, (vi) $151.1 million of finite-lived identifiable intangible assets, and (vii) $145.4 million of tax-deductible goodwill. Identifiable intangible assets included tradenames of $65.1 million, customer relationships of $84.1 million and non-competes of $1.9 million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Certain estimated values for the acquisition, including goodwill, intangible assets, and property, plant and equipment, are not yet finalized and are subject to revision as additional information becomes available and more detailed analysis is completed. The contingent consideration related to the Sunlight Supply acquisition is required to be accounted for as a derivative instrument and is recorded at fair value in the “Other current liabilities” line in the Condensed Consolidated Balance Sheets, with changes in fair value recognized in the “Impairment, restructuring and other” line in the Condensed Consolidated Statements of Operations. The estimated fair value of the contingent consideration was $0.9 million as of March 30, 2019 and the fair value measurement was classified in Level 3 of the fair value hierarchy.</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acquisition of Sunlight Supply also resulted in the settlement of a portion of certain previously acquired customer relationships, which resulted in a non-cash impairment charge of $17.5 million recognized in the “Impairment, restructuring and other” line in the Condensed Consolidated Statements of Operations during the third quarter of fiscal 2018 to reduce the carrying value of these previously acquired customer relationship intangible assets to an estimated fair value of $30.9 million. The estimated fair value was determined using an income-based approach, which includes market participant expectations of cash flows that 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will generate over the remaining useful life discounted to present value using an appropriate discount rate, and has been included as part of goodwill. Additionally, the Company reduced the value of deferred tax liabilities associated with the write-off of these previously acquired customer relationship intangible assets by $7.3 million, which was recognized in the “Income tax expense (benefit) from continuing operations” line in the Condensed Consolidated Statements of Operations during the third quarter of fiscal 2018.</w:t>
      </w:r>
    </w:p>
    <w:p>
      <w:pPr>
        <w:spacing w:after="0" w:line="10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Net sales for Sunlight Supply included within the Hawthorne segment for the three and six months ended March 30, 2019 were $91.4 million and $163.0 million, respectively. 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increased interest expense related to the financing of the acquisition,</w:t>
      </w:r>
    </w:p>
    <w:p>
      <w:pPr>
        <w:spacing w:after="0" w:line="2" w:lineRule="exact"/>
        <w:rPr>
          <w:sz w:val="20"/>
          <w:szCs w:val="20"/>
          <w:color w:val="auto"/>
        </w:rPr>
      </w:pPr>
    </w:p>
    <w:p>
      <w:pPr>
        <w:jc w:val="both"/>
        <w:ind w:firstLine="8"/>
        <w:spacing w:after="0" w:line="253" w:lineRule="auto"/>
        <w:tabs>
          <w:tab w:leader="none" w:pos="257"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adjustments to tax expense based on condensed consolidated pro forma results, and (vi) the impact of Common Shares issued as part of the purchase price in connection with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 they would have been had the acquisitions occurred on the assumed dates, nor are they necessarily an indication of future operating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100" w:type="dxa"/>
            <w:vAlign w:val="bottom"/>
          </w:tcPr>
          <w:p>
            <w:pPr>
              <w:jc w:val="right"/>
              <w:ind w:right="377"/>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 TOTAL COMPANY CONSOLIDATED PRO FORMA RESULTS</w:t>
            </w:r>
          </w:p>
        </w:tc>
        <w:tc>
          <w:tcPr>
            <w:tcW w:w="220" w:type="dxa"/>
            <w:vAlign w:val="bottom"/>
          </w:tcPr>
          <w:p>
            <w:pPr>
              <w:spacing w:after="0"/>
              <w:rPr>
                <w:sz w:val="24"/>
                <w:szCs w:val="24"/>
                <w:color w:val="auto"/>
              </w:rPr>
            </w:pPr>
          </w:p>
        </w:tc>
        <w:tc>
          <w:tcPr>
            <w:tcW w:w="2180" w:type="dxa"/>
            <w:vAlign w:val="bottom"/>
          </w:tcPr>
          <w:p>
            <w:pPr>
              <w:jc w:val="right"/>
              <w:ind w:right="579"/>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Pr>
          <w:p>
            <w:pPr>
              <w:spacing w:after="0"/>
              <w:rPr>
                <w:sz w:val="24"/>
                <w:szCs w:val="24"/>
                <w:color w:val="auto"/>
              </w:rPr>
            </w:pPr>
          </w:p>
        </w:tc>
        <w:tc>
          <w:tcPr>
            <w:tcW w:w="2100" w:type="dxa"/>
            <w:vAlign w:val="bottom"/>
          </w:tcPr>
          <w:p>
            <w:pPr>
              <w:jc w:val="right"/>
              <w:ind w:right="557"/>
              <w:spacing w:after="0"/>
              <w:rPr>
                <w:sz w:val="20"/>
                <w:szCs w:val="20"/>
                <w:color w:val="auto"/>
              </w:rPr>
            </w:pPr>
            <w:r>
              <w:rPr>
                <w:rFonts w:ascii="Arial" w:cs="Arial" w:eastAsia="Arial" w:hAnsi="Arial"/>
                <w:sz w:val="14"/>
                <w:szCs w:val="14"/>
                <w:b w:val="1"/>
                <w:bCs w:val="1"/>
                <w:color w:val="auto"/>
              </w:rPr>
              <w:t>MARCH 31, 2018</w:t>
            </w:r>
          </w:p>
        </w:tc>
      </w:tr>
      <w:tr>
        <w:trPr>
          <w:trHeight w:val="264"/>
        </w:trPr>
        <w:tc>
          <w:tcPr>
            <w:tcW w:w="64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60" w:type="dxa"/>
            <w:vAlign w:val="bottom"/>
            <w:tcBorders>
              <w:top w:val="single" w:sz="8" w:color="auto"/>
            </w:tcBorders>
            <w:gridSpan w:val="3"/>
          </w:tcPr>
          <w:p>
            <w:pPr>
              <w:jc w:val="right"/>
              <w:ind w:right="1277"/>
              <w:spacing w:after="0"/>
              <w:rPr>
                <w:sz w:val="20"/>
                <w:szCs w:val="20"/>
                <w:color w:val="auto"/>
              </w:rPr>
            </w:pPr>
            <w:r>
              <w:rPr>
                <w:rFonts w:ascii="Arial" w:cs="Arial" w:eastAsia="Arial" w:hAnsi="Arial"/>
                <w:sz w:val="14"/>
                <w:szCs w:val="14"/>
                <w:b w:val="1"/>
                <w:bCs w:val="1"/>
                <w:color w:val="auto"/>
              </w:rPr>
              <w:t>(In millions, except per share data)</w:t>
            </w:r>
          </w:p>
        </w:tc>
      </w:tr>
      <w:tr>
        <w:trPr>
          <w:trHeight w:val="256"/>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1,095.9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1,397.1</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Pro forma net income attributable to controlling interest</w:t>
            </w:r>
          </w:p>
        </w:tc>
        <w:tc>
          <w:tcPr>
            <w:tcW w:w="220" w:type="dxa"/>
            <w:vAlign w:val="bottom"/>
          </w:tcPr>
          <w:p>
            <w:pPr>
              <w:spacing w:after="0"/>
              <w:rPr>
                <w:sz w:val="21"/>
                <w:szCs w:val="21"/>
                <w:color w:val="auto"/>
              </w:rPr>
            </w:pPr>
          </w:p>
        </w:tc>
        <w:tc>
          <w:tcPr>
            <w:tcW w:w="2180" w:type="dxa"/>
            <w:vAlign w:val="bottom"/>
          </w:tcPr>
          <w:p>
            <w:pPr>
              <w:jc w:val="right"/>
              <w:ind w:right="39"/>
              <w:spacing w:after="0"/>
              <w:rPr>
                <w:sz w:val="20"/>
                <w:szCs w:val="20"/>
                <w:color w:val="auto"/>
              </w:rPr>
            </w:pPr>
            <w:r>
              <w:rPr>
                <w:rFonts w:ascii="Arial" w:cs="Arial" w:eastAsia="Arial" w:hAnsi="Arial"/>
                <w:sz w:val="18"/>
                <w:szCs w:val="18"/>
                <w:color w:val="auto"/>
              </w:rPr>
              <w:t>150.5</w:t>
            </w:r>
          </w:p>
        </w:tc>
        <w:tc>
          <w:tcPr>
            <w:tcW w:w="380" w:type="dxa"/>
            <w:vAlign w:val="bottom"/>
          </w:tcPr>
          <w:p>
            <w:pPr>
              <w:spacing w:after="0"/>
              <w:rPr>
                <w:sz w:val="21"/>
                <w:szCs w:val="21"/>
                <w:color w:val="auto"/>
              </w:rPr>
            </w:pPr>
          </w:p>
        </w:tc>
        <w:tc>
          <w:tcPr>
            <w:tcW w:w="2100" w:type="dxa"/>
            <w:vAlign w:val="bottom"/>
          </w:tcPr>
          <w:p>
            <w:pPr>
              <w:jc w:val="right"/>
              <w:ind w:right="17"/>
              <w:spacing w:after="0"/>
              <w:rPr>
                <w:sz w:val="20"/>
                <w:szCs w:val="20"/>
                <w:color w:val="auto"/>
              </w:rPr>
            </w:pPr>
            <w:r>
              <w:rPr>
                <w:rFonts w:ascii="Arial" w:cs="Arial" w:eastAsia="Arial" w:hAnsi="Arial"/>
                <w:sz w:val="18"/>
                <w:szCs w:val="18"/>
                <w:color w:val="auto"/>
              </w:rPr>
              <w:t>129.7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 forma diluted net income per common share</w:t>
            </w:r>
          </w:p>
        </w:tc>
        <w:tc>
          <w:tcPr>
            <w:tcW w:w="2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2.23</w:t>
            </w: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Condensed Consolidated Balance Sheets. On October 2, 2017, the Company’s Hawthorne segment acquired the remaining 25% noncontrolling interest in Gavita, including Agrolux Holding B.V. (now known as Hawthorne Lighting B.V.), and its subsidiaries (collectively,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Condensed Consolidated Balance Sheets. The Company has revised its historical presentation of the payment related to the acquisition of the remaining noncontrolling interest for the six months ended March 31, 2018. This payment was incorrectly classified as an investing activity in the “Investments in acquired businesses, net of cash acquired” line in the Condensed Consolidated Statements of Cash Flows, and was revised to be classified as a financing activity in the “Acquisition of noncontrolling interests” line in the Condensed Consolidated Statements of Cash Flows in accordance with GAAP. The Company previously revised this classification in its fiscal 2018 Form 10–K.</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Can-Filters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11, 2017, the Company’s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 The valuation of the acquired assets included (i) $1.5 million of cash, prepaid and other current assets, (ii) $7.7 million of inventory and accounts receivable, (iii) $4.4 million of fixed assets, (iv) $0.7 million of accounts payable and other current liabilities, (v) $39.7 million of finite-lived identifiable intangible assets, and (vi) $21.5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UNCONSOLIDATED AFFILIATES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March 19, 2019, the Company entered into an agreement under which it sold, to TruGreen Companies L.L.C., a subsidiary of TruGreen Holding Corporation, all of its approximately 30% equity interest in Outdoor Home Services Holdings LLC, a lawn services joint venture between the Company and TruGreen Holding Corporation (the “TruGreen Joint Venture”). Prior to this transaction, the Company’s net investment and advances with respect to the TruGreen Joint Venture had been reduced to a liability which resulted in an amount recorded in the “Distributions in excess of investment in unconsolidated affiliate” line in the Condensed Consolidated Balance Sheets. Under the terms of the agreement, the Company received cash proceeds of $234.2 million related to the sale of its equity interest in the TruGreen Joint Venture and $18.4 million related to the payoff of second lien term loan financing, which was previously recorded in the “Other assets” line in the Condensed Consolidated Balance Sheets. During the three and six months ended March 30, 2019, the Company also received a distribution from the TruGreen Joint Venture intended to cover certain required tax payments of $3.5 million, which was classified as an investing activity in the Condensed Consolidated Statements of Cash Flows. During the three and six months ended March 30, 2019, the Company recognized a pre-tax gain of $259.8 million related to this sale in the “Other non-operating (income) expense, net” line in the Condensed Consolidated Statements of Operations. The Company also reclassified $47.1 million from deferred tax liabilities, which were previously recorded in the “Other liabilities” line in the Condensed Consolidated Balance Sheets, to accrued taxes, which are recorded in the “Other current liabilities” line in the Condensed Consolidated Balance Sheets, related to the outside basis difference in the TruGreen Joint Venture as a result of the sale of the Company’s equity interest.</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March 30, 2019, the Company held a noncontrolling interest in an unconsolidated affiliate whose products support the professional U.S. industrial, turf and ornamental market (the “IT&amp;O Joint Venture”). During the three and six months ended March 30, 2019, the Company received a distribution of net earnings from the IT&amp;O Joint Venture of $4.9 million, which was classified as an operating activity in the Condensed Consolidated Statements of Cash Flows. On April 1, 2019, the Company sold all of its equity interest in the IT&amp;O Joint Venture for cash proceeds of $36.6 million and a pre-tax gain of approximately $3.0 million will be recognized in the “Other non-operating (income) expense, net” line in the Condensed Consolidated Statements of Operations for the Company’s third quarter of fiscal 2019. The Company provided the IT&amp;O Joint Venture with line of credit financing, which was fully repaid as of March 30, 2019 and had a balance of $7.4 million at March 31, 2018 which was previously recorded in the “Other assets” line in the Condensed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(recoveries)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and other charges (recoveries), net,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six months ended March 30, 2019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March 30,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restructuring accruals, as of March 30, 2019, is $1.6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recent acquisitions within the Hawthorne segment. During the three and six months ended March 30, 2019, the Company continued to execute on its planned facility closures and consolidations and terminated employees in duplicate roles which resulted in charges of $2.1 million and $7.6 million, respectively, related to Project Catalyst. The Company incurred charges of $0.1 million and $0.4 million in its U.S. Consumer segment, $0.6 million and $2.5 million in its Hawthorne segment and $0.3 million and $0.6 million in its Other segment in the “Cost of sales—impairment, restructuring and other” line in the Condensed Consolidated Statements of Operations during the three and six months ended March 30, 2019, respectively, related to employee termination benefits, facility closure costs and impairment of property, plant and equipment. The Company incurred charges of $0.1 million and $0.5 million in its U.S. Consumer segment, $0.4 million and $2.1 million in its Hawthorne segment, $0.5 million and $0.6 million in its Other segment and $0.1 million and $0.9 million at Corporate in the “Impairment, restructuring and other” line in the Condensed Consolidated Statements of Operations during the three and six months ended March 30, 2019, respectively, related to employee termination benefits and facility closure costs. Costs incurred to date since the inception of Project Catalyst are $22.4 million for the Hawthorne segment, $12.5 million for the U.S. Consumer segment, $1.2 million for the Other segment and $0.9 million for Corporate.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and six months ended March 31, 2018, the U.S. Consumer segment recognized adjustments of $0.1 million and $0.3 million, respectively, related to previously recognized termination benefits associated with Project Focus in the “Impairment, restructuring and other” line in the Condensed Consolidated Statements of Operations. Costs incurred to date since the inception of the current Project Focus initiatives are $10.0 million for the U.S. Consumer segment, $0.9 million for the Hawthorne segment and $1.2 million for the Other segment, related to transaction activity, termination benefits and facility closure costs.</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31, 2017, the Company completed the sale of the International Business. Refer to “NOTE 3. DISCONTINUED OPERATIONS” for more information. During the three and six months ended March 31, 2018, the Company recognized $0.2 million and $1.6 million, respectively, in transaction related costs associated with the sale of the International Business in the “Income (loss) from discontinued operations, net of tax” line in the Condensed Consolidated Statements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During the three and six months ended March 30, 2019, the Company received insurance reimbursement payments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of $8.4 million and $13.4 million, respectively. The Company recognized insurance recoveries of $5.0 million related to this matter in the “Income (loss) from discontinued operations, net of tax” line in the Condensed Consolidated Statements of Operations during the first quarter of fiscal 2019, and the remaining $8.4 million of reimbursements have been recognized as an accrued liability on the Condensed Consolidated Balance Sheets as of March 30, 2019 pending the finalization of the settlement. Refer to “NOTE 12. CONTINGENCIES” for more information.</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three and six months ended March 30, 2019, the Company recognized favorable adjustments of $0.9 million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 During the three and six months ended March 31, 2018, the Company recognized a charge of $10.2 million for a probable loss related to this matter in the “Impairment, restructuring and other” line in the Condensed Consolidated Statements of Operations. Refer to “NOTE 12. CONTINGENCIES” for more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60.1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481.4</w:t>
            </w: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$8.1 million at March 30, 2019, $11.9 million at March 31, 2018 and $8.1 million at September 30,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MARKETING AGREEMENT</w:t>
      </w:r>
    </w:p>
    <w:p>
      <w:pPr>
        <w:spacing w:after="0" w:line="175"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The Scotts Company LLC (“Scotts LLC”) is the exclusive agent of Monsanto for the marketing and distribution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consumer lawn and garden market in the United States and certain other specified countries pursuant to the Restated Marketing Agreement. The Restated Marketing Agreement covers Israel, China and every country in North America and South America that is not subject to a comprehensive U.S. trade embargo or certain other embargoes and trade restrictions.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6"/>
          <w:szCs w:val="16"/>
          <w:color w:val="auto"/>
        </w:rPr>
        <w:t>Unless Monsanto terminates the Restated Marketing Agreement due to an event of default by the Company, upon a termination of the Restated Marketing Agreement by Monsanto, in addition to other remedies that may be available to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“Termination Fee”). The Company may terminate the Restated Marketing Agreement upon a material breach of the Restated Marketing Agreement by Monsanto or upon a material fraud or material willful misconduct committed by Monsanto, among other potential remedies, and in the event of such a termination by the Company, Monsanto is required to pay to the Company an amount equal to the Termination Fee. Upon a significant decline in either (i)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of more than 25% compared to program year 2014; or (ii)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subject to certain terms and conditions, the Company may either terminate the Restated Marketing Agreement or continue the Restated Marketing Agreement and be entitled to receive an additional commission amount. The Restated Marketing Agreement also provides the Company with additional rights and remedies, including the right to terminate the Restated Marketing Agreement in certain circumstances and the right to indemnification for product liability claims relating to its marketing and distribution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in its capacity as Monsanto’s agent. The term of the Restated Marketing Agreement will continue indefinitely for all included markets unless and until otherwise terminated in accordance therewith. Subsequent to March 30, 2019, Monsanto agreed to reimburse the Company for $20.0 million of additional expenses incurred and to be incurred by the Company for certain activities connected to the Restated Marketing Agreement. The $20.0 million payment will be included in the “Net sales” line in the Condensed Consolidated Statements of Operations for the third quarter of fiscal 2019.</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elements of the net commission and reimbursements earned under the Restated Marketing Agreement and included in “Net sales”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0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8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Reimbursements associated with Restated Marketing Agreement</w:t>
            </w:r>
          </w:p>
        </w:tc>
        <w:tc>
          <w:tcPr>
            <w:tcW w:w="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w w:val="96"/>
              </w:rPr>
              <w:t>Total net sales associated with Restated Marketing Agreement</w:t>
            </w:r>
          </w:p>
        </w:tc>
        <w:tc>
          <w:tcPr>
            <w:tcW w:w="8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492.2</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250.0</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76.0</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2,405.3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2,025.7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March 30, 2019, the Company had letters of credit outstanding in the aggregate principal amount of $21.4 million, and $812.3 million of borrowing availability under the Fifth A&amp;R Credit Agreement. The weighted average interest rates on average borrowings under the Fifth A&amp;R Credit Agreement and the former credit agreement were 4.6% and 4.1% for the six months ended March 30, 2019 and March 31, 2018, respectively.</w:t>
      </w:r>
    </w:p>
    <w:p>
      <w:pPr>
        <w:spacing w:after="0" w:line="8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(i) 5.25 through the second quarter of fiscal 2019, (ii) 5.00 for the third quarter of fiscal 2019 through the first quarter of fiscal 2020, (iii) 4.75 for the second quarter of fiscal 2020 through the fourth quarter of fiscal 2020 and (iv) 4.50 for the first quarter of fiscal 2021 and thereafter. The Company’s leverage ratio was 3.93 at March 30, 2019.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March 30, 2019. The Company’s interest coverage ratio was 5.67 for the twelve months ended March 30, 2019.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Under the Master Repurchase Agreement (including the annexes thereto, the “Repurchase Agreement”) and a Master Framework Agreement (the “Framework Agreement” and, together with the Repurchase Agreement, the “Receivables Facility”), as amended, the Company may sell a portfolio of available and eligible outstanding customer accounts receivable to the purchasers and simultaneously agree to repurchase the receivables on a weekly basis. The Company accounts for the sale of receivables under the Receivables Facility as short-term debt and continues to carry the receivables on its Condensed Consolidated Balance Sheets, primarily as a result of the Company’s requirement to repurchase receivables sold. As of March 30, 2019 and March 31, 2018, there were $300.0 million in borrowings on receivables pledged as collateral under the Receivables Facility, and the carrying value of the receivables pledged as collateral was $333.3 million. As of March 30, 2019 and March 31, 2018, there was $100.0 million and $78.4 million, respectively, of availability under the Receivables Facility.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March 30, 2019, $1,300.0 million at March 31, 2018 and $800.0 million at September 30, 2018,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March 30, 2019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3"/>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3"/>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3"/>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3"/>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2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2/28/2018</w:t>
            </w:r>
          </w:p>
        </w:tc>
        <w:tc>
          <w:tcPr>
            <w:tcW w:w="3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5/28/2019</w:t>
            </w:r>
          </w:p>
        </w:tc>
        <w:tc>
          <w:tcPr>
            <w:tcW w:w="3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7/7/2021</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2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Fifth A&amp;R Credit Facilities was classified in Level 2 of the fair value hierarchy.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March 30, 2019, the fair value of the 5.250% Senior Notes was approximately $245.0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March 30, 2019, the fair value of the 6.000% Senior Notes was approximately $416.0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4.7% and 4.4% for the six months ended March 30, 2019 and March 31,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the three and six months ended March 30, 2019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420.3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919.9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(939.6)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354.6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359.6</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5"/>
              </w:rPr>
              <w:t>Adoption of new accounting pronouncements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(see Note 1)</w:t>
            </w:r>
          </w:p>
        </w:tc>
        <w:tc>
          <w:tcPr>
            <w:tcW w:w="1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color w:val="auto"/>
              </w:rPr>
              <w:t>Balance at December 29,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(937.7)</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253.2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w:t>
            </w:r>
          </w:p>
        </w:tc>
      </w:tr>
      <w:tr>
        <w:trPr>
          <w:trHeight w:val="243"/>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March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426.2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622.1</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-98425</wp:posOffset>
            </wp:positionV>
            <wp:extent cx="5505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the three and six months ended March 31, 2018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407.6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648.8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661.7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($0.530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Acquisition of remaining noncontrolling</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interest in Gavita</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407.9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925.9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502.8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507.8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149.0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($0.530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(160.2)</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March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409.0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1,044.5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(911.4)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490.8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495.9</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and six months ended March 30, 2019, the Company recognized a charge of $2.5 million in the “Other non-operating (income) expense, net” line in the Condensed Consolidated Statements of Operations related to the write-off of accumulated foreign currency translation loss adjustments of a foreign subsidiary that was substantially liquidated. During the three and six months ended March 31, 2018, the Company repatriated cash from a foreign subsidiary resulting in the liquidation of substantially all of the assets of the subsidiary and the write-off of accumulated foreign currency translation loss adjustments of $11.7 million within the “Other non-operating (income) expense, net” line in the Condensed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an aggregate amount of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by the Board of Directors at any time, and there can be no guarantee as to the timing or amount of any repurchases. There were no share repurchases under the program during the three and six months ended March 30, 2019. During the three and six months ended March 31, 2018, Scotts Miracle-Gro repurchased 1.7 million and 2.7 million Common Shares for $160.2 million and $256.8 million, respectively. From the inception of this share repurchase program in the fourth quarter of fiscal 2014 through March 30, 2019, Scotts Miracle-Gro repurchased approximately 8.3 million Common Shares for $714.6 million. The “Treasury share purchases” lines in the tables above include cash paid to tax authorities to satisfy statutory income tax withholding obligations related to share-based compensation of $2.5 million for the three and six months ended March 30, 2019, and $2.8 million and $2.9 million for the three and six months ended March 31, 2018,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Sunlight Supply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4, 2018, Scotts Miracle-Gro issued 0.3 million Common Shares, which represented a carrying value of $20.7 million, out of its treasury shares for payment of a portion of the purchase price for the acquisition of Sunlight Supply.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Condensed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of Scotts Miracle-Gro. If available, Scotts Miracle-Gro will typically use treasury shares, or if not available, newly-issued Common Shares, in satisfaction of its share-based awards.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October 30, 2017, Scotts Miracle-Gro issued 0.2 million upfront performance-based award units (the “Hawthorne PFAs”), covering a four-year performance period, with an estimated fair value of $20.2 million on the date of grant, to certain Hawthorne segment employees as part of its Project Focus initiative. These awards were to vest after approximately four years subject to the achievement of specific performance goals aligned with the strategic objectives of the Company’s Project Focus initiatives. Based on the extent to which the performance goals were achieved, vested shares were to range from 50 to 250 percent of the target award amount. The performance goals were based on cumulative Hawthorne non-GAAP adjusted earnings. These performance-based award units were to accrue cash dividend equivalents payable upon vesting of the awards. During the first quarter of fiscal 2019, in light of Hawthorne’s acquisition of Sunlight Supply and the fiscal 2018 downturn in the Hawthorne business, the Company authorized the cancellation of the Hawthorne PFAs and the issuance of a one-time performance bonus grant for certain Hawthorne segment employees with targets based on specified levels of Hawthorne non-GAAP adjusted earnings, subject to participant consent.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3"/>
          </w:tcPr>
          <w:p>
            <w:pPr>
              <w:jc w:val="right"/>
              <w:ind w:right="228"/>
              <w:spacing w:after="0" w:line="153" w:lineRule="exact"/>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7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161,322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109,563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20,799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260,266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365,865</w:t>
            </w: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78"/>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34.9</w:t>
            </w:r>
          </w:p>
        </w:tc>
      </w:tr>
      <w:tr>
        <w:trPr>
          <w:trHeight w:val="351"/>
        </w:trPr>
        <w:tc>
          <w:tcPr>
            <w:tcW w:w="6520" w:type="dxa"/>
            <w:vAlign w:val="bottom"/>
          </w:tcPr>
          <w:p>
            <w:pPr>
              <w:ind w:left="420"/>
              <w:spacing w:after="0"/>
              <w:rPr>
                <w:sz w:val="20"/>
                <w:szCs w:val="20"/>
                <w:color w:val="auto"/>
              </w:rPr>
            </w:pPr>
            <w:r>
              <w:rPr>
                <w:rFonts w:ascii="Arial" w:cs="Arial" w:eastAsia="Arial" w:hAnsi="Arial"/>
                <w:sz w:val="18"/>
                <w:szCs w:val="18"/>
                <w:color w:val="auto"/>
                <w:w w:val="93"/>
              </w:rPr>
              <w:t>Total share-based compensation was as follows for each of the periods indicated: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380" w:type="dxa"/>
            <w:vAlign w:val="bottom"/>
            <w:tcBorders>
              <w:bottom w:val="single" w:sz="8" w:color="auto"/>
            </w:tcBorders>
            <w:gridSpan w:val="6"/>
          </w:tcPr>
          <w:p>
            <w:pPr>
              <w:jc w:val="right"/>
              <w:ind w:right="3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000" w:type="dxa"/>
            <w:vAlign w:val="bottom"/>
            <w:gridSpan w:val="2"/>
          </w:tcPr>
          <w:p>
            <w:pPr>
              <w:jc w:val="center"/>
              <w:ind w:right="108"/>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140" w:type="dxa"/>
            <w:vAlign w:val="bottom"/>
            <w:gridSpan w:val="4"/>
          </w:tcPr>
          <w:p>
            <w:pPr>
              <w:jc w:val="right"/>
              <w:ind w:right="20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00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9.7</w:t>
            </w:r>
          </w:p>
        </w:tc>
        <w:tc>
          <w:tcPr>
            <w:tcW w:w="82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17.0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4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4.1</w:t>
            </w:r>
          </w:p>
        </w:tc>
      </w:tr>
      <w:tr>
        <w:trPr>
          <w:trHeight w:val="486"/>
        </w:trPr>
        <w:tc>
          <w:tcPr>
            <w:tcW w:w="6520" w:type="dxa"/>
            <w:vAlign w:val="bottom"/>
          </w:tcPr>
          <w:p>
            <w:pPr>
              <w:ind w:left="56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jc w:val="right"/>
              <w:ind w:right="6970"/>
              <w:spacing w:after="0"/>
              <w:rPr>
                <w:rFonts w:ascii="Arial" w:cs="Arial" w:eastAsia="Arial" w:hAnsi="Arial"/>
                <w:sz w:val="18"/>
                <w:szCs w:val="18"/>
                <w:color w:val="FFFFFF"/>
                <w:w w:val="88"/>
              </w:rPr>
            </w:pPr>
            <w:hyperlink w:anchor="page2">
              <w:r>
                <w:rPr>
                  <w:rFonts w:ascii="Arial" w:cs="Arial" w:eastAsia="Arial" w:hAnsi="Arial"/>
                  <w:sz w:val="18"/>
                  <w:szCs w:val="18"/>
                  <w:color w:val="FFFFFF"/>
                  <w:w w:val="88"/>
                </w:rPr>
                <w:t>Table of Contents</w:t>
              </w:r>
            </w:hyperlink>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8340" w:type="dxa"/>
            <w:vAlign w:val="bottom"/>
          </w:tcPr>
          <w:p>
            <w:pPr>
              <w:jc w:val="right"/>
              <w:ind w:right="6970"/>
              <w:spacing w:after="0"/>
              <w:rPr>
                <w:sz w:val="20"/>
                <w:szCs w:val="20"/>
                <w:color w:val="auto"/>
              </w:rPr>
            </w:pPr>
            <w:r>
              <w:rPr>
                <w:rFonts w:ascii="Arial" w:cs="Arial" w:eastAsia="Arial" w:hAnsi="Arial"/>
                <w:sz w:val="18"/>
                <w:szCs w:val="18"/>
                <w:b w:val="1"/>
                <w:bCs w:val="1"/>
                <w:i w:val="1"/>
                <w:iCs w:val="1"/>
                <w:color w:val="auto"/>
              </w:rPr>
              <w:t>Stock Options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40" w:type="dxa"/>
            <w:vAlign w:val="bottom"/>
          </w:tcPr>
          <w:p>
            <w:pPr>
              <w:ind w:left="420"/>
              <w:spacing w:after="0"/>
              <w:rPr>
                <w:sz w:val="20"/>
                <w:szCs w:val="20"/>
                <w:color w:val="auto"/>
              </w:rPr>
            </w:pPr>
            <w:r>
              <w:rPr>
                <w:rFonts w:ascii="Arial" w:cs="Arial" w:eastAsia="Arial" w:hAnsi="Arial"/>
                <w:sz w:val="18"/>
                <w:szCs w:val="18"/>
                <w:color w:val="auto"/>
              </w:rPr>
              <w:t>Aggregate stock option activity for the six months ended March 30, 2019 was as follows: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1,217,092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30,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1,188,139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1,188,139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At March 30, 2019, the total pre-tax compensation cost, net of estimated forfeitures, related to nonvested stock options not yet recognized was zero. The total intrinsic value of stock options exercised was $0.6 million for the six months ended March 30, 2019. Cash received from the exercise of stock options, including amounts received from employee purchases under the employee stock purchase plan, was $2.3 million for the six months ended March 30, 2019. The following summarizes certain information pertaining to stock option awards outstanding and exercisable at March 30, 2019 (options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Awards Outstanding</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Wtd.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Wtd.</w:t>
            </w:r>
          </w:p>
        </w:tc>
        <w:tc>
          <w:tcPr>
            <w:tcW w:w="160" w:type="dxa"/>
            <w:vAlign w:val="bottom"/>
          </w:tcPr>
          <w:p>
            <w:pPr>
              <w:spacing w:after="0"/>
              <w:rPr>
                <w:sz w:val="13"/>
                <w:szCs w:val="13"/>
                <w:color w:val="auto"/>
              </w:rPr>
            </w:pPr>
          </w:p>
        </w:tc>
        <w:tc>
          <w:tcPr>
            <w:tcW w:w="84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9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No.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Avg.</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Avg.</w:t>
            </w:r>
          </w:p>
        </w:tc>
        <w:tc>
          <w:tcPr>
            <w:tcW w:w="10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Avg.</w:t>
            </w:r>
          </w:p>
        </w:tc>
        <w:tc>
          <w:tcPr>
            <w:tcW w:w="160" w:type="dxa"/>
            <w:vAlign w:val="bottom"/>
          </w:tcPr>
          <w:p>
            <w:pPr>
              <w:spacing w:after="0"/>
              <w:rPr>
                <w:sz w:val="12"/>
                <w:szCs w:val="12"/>
                <w:color w:val="auto"/>
              </w:rPr>
            </w:pPr>
          </w:p>
        </w:tc>
        <w:tc>
          <w:tcPr>
            <w:tcW w:w="8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8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Options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$63.43 – $68.68</w:t>
            </w: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values of the stock option awards outstanding and exercisable at March 30, 2019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50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0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Restricted share-based award activity (including restricted stock units and deferred stock units) for the six months ended March 30,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403,440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191,317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30, 2019</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496,231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30, 2019, the total pre-tax compensation cost, net of estimated forfeitures, related to nonvested restricted share units not yet recognized was $14.0 million, which is expected to be recognized over a weighted-average period of 2.1 years. The total fair value of restricted stock units and deferred stock units vested was $6.2 million for the six months ended March 30,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for the six months ended March 30, 2019 was as follows (based on target award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755,807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68,949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(84,775)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30, 2019</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683,666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30, 2019, the total pre-tax compensation cost, net of estimated forfeitures, related to nonvested performance-based units not yet recognized was $26.8 million, which is expected to be recognized over a weighted-average period of 2.5 years. The total fair value of performance-based units vested was $3.9 million for the six months ended March 30,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effective tax rates related to continuing operations for the six months ended March 30, 2019 and March 31, 2018 were 24.7% and (15.0)%,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 During the six months ended March 31, 2018, the Company recognized a one-time $45.9 million net tax benefit adjustment reflecting the revaluation of its net deferred tax liability at the lower tax rate under the Act. In addition, as part of the Act, the Company recognized a one-time tax expense on deemed repatriated earnings and cash of foreign subsidiaries as required by the Act of $14.0 million, partially offset by the recognition and application of foreign tax credits associated with these foreign subsidiaries of $13.9 million.</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SAB 118 provides guidance on accounting for the tax effects of the Act. In accordance with SAB 118, any necessary measurement adjustments were recorded and disclosed within one year from the enactment date within the period the adjustments are determined. Accordingly, the Company accounted for the various elements of the Act as follows:</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Statutory Tax Rate Reduction: </w:t>
      </w:r>
      <w:r>
        <w:rPr>
          <w:rFonts w:ascii="Arial" w:cs="Arial" w:eastAsia="Arial" w:hAnsi="Arial"/>
          <w:sz w:val="16"/>
          <w:szCs w:val="16"/>
          <w:color w:val="auto"/>
        </w:rPr>
        <w:t>The Act reduced the federal corporate statutory tax rate to 21% effective January 1, 2018. As the Company’s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falls on September 30, the federal corporate statutory tax rate for fiscal 2018 was prorated to 24.5%, with the statutory tax rate for fiscal 2019 and beyond at 21%. As a result of the reduction in statutory tax rate, the Company recorded a reduction in the value of its net deferred tax liability and a net benefit of $44.6 million was recorded in the “Income tax expense from continuing operations” line in the Consolidated Statements of Operations during fiscal 2018.</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Act requires companies to pay a mandatory one-time U.S. transition tax on deemed repatriation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undistributed earnings of foreign subsidiaries. For fiscal 2018, the Company estimated U.S. federal tax on the deemed repatriation of $21.2 million based on $97.8 million of undistributed earnings of foreign subsidiaries. This expense is largely offset by $18.2 million of foreign tax credits, $0.5 million of which was carried forward from prior periods and offset by a complete valuation allowance.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Other Provisions of the Act: </w:t>
      </w:r>
      <w:r>
        <w:rPr>
          <w:rFonts w:ascii="Arial" w:cs="Arial" w:eastAsia="Arial" w:hAnsi="Arial"/>
          <w:sz w:val="18"/>
          <w:szCs w:val="18"/>
          <w:color w:val="auto"/>
        </w:rPr>
        <w:t>Certain other aspects of the Act not expected to have a material effect on the Company’s financial statements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2019 including those related to performance based compensation and others related to international taxation such as Global Intangible Low-Taxed Income (“GILTI”), Foreign Derived Intangible Income (“FDII”), and the Base Erosion Anti-Abuse Tax (“BEAT”). The Company has elected to account for GILTI under the period cost method. Estimates for these provisions have been included as components of the Company’s annualized effective tax rate and recorded in the “Income tax expense (benefit) from continuing operations” line in the Condensed Consolidated Statements of Operations for the six months ended March 30, 2019.</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net deferred tax liability decreased by $37.5 million during the six months ended March 30, 2019. This decrease was primarily comprised of the reclassification of deferred tax liabilities of $47.1 million to accrued taxes related to the outside basis difference in the TruGreen Joint Venture as the result of the sale of the Company’s equity interest, partially offset by the reclassification of deferred tax assets of $13.9 million to accrued taxes as a result of payments made in connection with litigation settlements.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The Company is currently under examination by certain U.S. state and local tax authorities for tax periods limited to fiscal years 2009 through 2017. Other than these examinations, the Company is no longer subject to examination by tax authorities for fiscal years prior to 2015. In addition to the aforementioned audits, certain other tax deficiency notices and refund claims for previous years remain unresolved.</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30, 2019, $3.9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scheduled a final fairness hearing for June 3, 2019. During the three months ended March 30, 2019, the Company paid $42.5 million to the settlement fund in accordance with the settlement agreement. At March 30, 2019, March 31, 2018 and September 30, 2018, $42.5 million, zero and $85.0 million, respectively, was accrued for a probable loss related to this matter in the “Other current liabilities” line in the Condensed Consolidated Balance Sheets. During the three and six months ended March 30, 2019, the Company received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insurance reimbursement payments related to this matter of $8.4 million and $13.4 million, respectively. The Company recognized insurance recoveries of $5.0 million related to this matter in the “Income (loss) from discontinued operations, net of tax” line in the Condensed Consolidated Statements of Operations during the first quarter of fiscal 2019, and the remaining $8.4 million of reimbursements have been recognized as an accrued liability in the Condensed Consolidated Balance Sheets as of March 30, 2019 pending the finalization of the settlement.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12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The Company was named as a defendant in </w:t>
      </w:r>
      <w:r>
        <w:rPr>
          <w:rFonts w:ascii="Arial" w:cs="Arial" w:eastAsia="Arial" w:hAnsi="Arial"/>
          <w:sz w:val="16"/>
          <w:szCs w:val="16"/>
          <w:i w:val="1"/>
          <w:iCs w:val="1"/>
          <w:color w:val="auto"/>
        </w:rPr>
        <w:t>In re Scotts EZ Seed Litigation</w:t>
      </w:r>
      <w:r>
        <w:rPr>
          <w:rFonts w:ascii="Arial" w:cs="Arial" w:eastAsia="Arial" w:hAnsi="Arial"/>
          <w:sz w:val="16"/>
          <w:szCs w:val="16"/>
          <w:color w:val="auto"/>
        </w:rPr>
        <w:t>, Case No. 12-cv-4727 (VB), a New York and California class action lawsuit filed August 9, 2012 in the United States District Court for the Southern District of New York that asserted claims under false advertising and other legal theories based on a marketing statement on the Company’s EZ Seed grass seed product from 2009 to 2012. The plaintiffs sought, on behalf of themselves and purported class members, various forms of monetary and non-monetary relief, including statutory damages that they contend could amount to hundreds of millions of dollars. The Company defended the action vigorously, and disputed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required the Company to pay certain attorneys’ and administrative fees and provide certain payments to the class members. The preliminary settlement was approved by the court on December 19, 2018. This case is now settled and the Company made final payment of the claims made by class members during the three months ended March 30, 2019. At March 30, 2019, March 31, 2018 and September 30, 2018, $0.1 million, $10.2 million, and $11.7 million, respectively, was accrued for a probable loss related to this matter in the “Other current liabilities” line in the Condensed Consolidated Balance Sheets. During the three and six months ended March 30, 2019, the Company recognized favorable adjustments of $0.9 million and $0.4 million, respectively, related to this matter in the “Impairment, restructuring and other” line in the Condensed Consolidated Statements of Operations as a result of the final payment of the claims made by class members.</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and certain other balances denominated in foreign currencies. At March 30, 2019, the notional amount of outstanding currency forward contracts was $118.3 million, with a fair value of $1.5 million. At March 31, 2018, the notional amount of outstanding currency forward contracts was $252.9 million, with a fair value of $(0.7) million. At September 30, 2018, the notional amount of outstanding currency forward contracts was $117.2 million, with a fair value of $(0.6) million. The fair value of currency forward contracts is determined using forward rates in commonly quoted intervals for the full term of the contracts. Contracts outstanding at March 30, 2019 will mature over the next fiscal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 of $1,300.0 million at March 30, 2019, $1,300.0 million at March 31, 2018 and $800.0 million at September 30, 2018. Refer to “NOTE 9. DEBT” for the terms of the swap agreements outstanding at March 30, 2019. Included in the AOCI balance at March 30, 2019 was a loss of $0.9 million related to interest rate swap agreements that is expected to be reclassified to earnings during the next twelve months, consistent with the timing of the underlying hedged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March 30, 2019 was a loss of $0.2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also uses derivatives to partially mitigate the effect of fluctuating diesel and resin costs on operating results. These financial instruments are carried at fair value within the Condensed Consolidated Balance Sheets. Changes in the fair value of derivative contracts that qualify for hedge accounting are recorded in AOCI. The effective portion of the change in fair value remains as a component of AOCI until the related commodity is consumed, at which time the accumulated gain or loss on the derivative contract is reclassified to cost of sales. Changes in the fair value of derivatives that do not qualify for hedge accounting are recorded as an element of cost of sales. At March 30, 2019, there were no amounts included within AOCI.</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200" w:type="dxa"/>
            <w:vAlign w:val="bottom"/>
            <w:gridSpan w:val="2"/>
          </w:tcPr>
          <w:p>
            <w:pPr>
              <w:ind w:left="640"/>
              <w:spacing w:after="0"/>
              <w:rPr>
                <w:sz w:val="20"/>
                <w:szCs w:val="20"/>
                <w:color w:val="auto"/>
              </w:rPr>
            </w:pPr>
            <w:r>
              <w:rPr>
                <w:rFonts w:ascii="Arial" w:cs="Arial" w:eastAsia="Arial" w:hAnsi="Arial"/>
                <w:sz w:val="14"/>
                <w:szCs w:val="14"/>
                <w:b w:val="1"/>
                <w:bCs w:val="1"/>
                <w:color w:val="auto"/>
              </w:rPr>
              <w:t>MARCH 30,</w:t>
            </w:r>
          </w:p>
        </w:tc>
        <w:tc>
          <w:tcPr>
            <w:tcW w:w="2140" w:type="dxa"/>
            <w:vAlign w:val="bottom"/>
            <w:gridSpan w:val="2"/>
          </w:tcPr>
          <w:p>
            <w:pPr>
              <w:ind w:left="600"/>
              <w:spacing w:after="0"/>
              <w:rPr>
                <w:sz w:val="20"/>
                <w:szCs w:val="20"/>
                <w:color w:val="auto"/>
              </w:rPr>
            </w:pPr>
            <w:r>
              <w:rPr>
                <w:rFonts w:ascii="Arial" w:cs="Arial" w:eastAsia="Arial" w:hAnsi="Arial"/>
                <w:sz w:val="14"/>
                <w:szCs w:val="14"/>
                <w:b w:val="1"/>
                <w:bCs w:val="1"/>
                <w:color w:val="auto"/>
              </w:rPr>
              <w:t>MARCH 31,</w:t>
            </w:r>
          </w:p>
        </w:tc>
        <w:tc>
          <w:tcPr>
            <w:tcW w:w="2040" w:type="dxa"/>
            <w:vAlign w:val="bottom"/>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33,000 tons</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 tons</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88,000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Resin</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6,100,000 pounds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4,452,000 gallons</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3,360,000 gallons</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5,460,000 gallons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Heating Oil</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756,000 gallons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1,092,000 gallons</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1,218,000 gallons</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3"/>
                <w:szCs w:val="13"/>
                <w:color w:val="auto"/>
              </w:rPr>
            </w:pPr>
          </w:p>
        </w:tc>
        <w:tc>
          <w:tcPr>
            <w:tcW w:w="126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16"/>
                <w:szCs w:val="16"/>
                <w:color w:val="auto"/>
              </w:rPr>
            </w:pPr>
          </w:p>
        </w:tc>
        <w:tc>
          <w:tcPr>
            <w:tcW w:w="3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10"/>
          </w:tcPr>
          <w:p>
            <w:pPr>
              <w:jc w:val="center"/>
              <w:ind w:right="57"/>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0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8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AMOUNT OF GAIN / (LOSS)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36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INTO</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0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42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AMOUNT OF GAIN / (LOSS)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RECOGNIZED IN</w:t>
            </w: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36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STATEMENT OF</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0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6"/>
                <w:szCs w:val="16"/>
                <w:color w:val="auto"/>
              </w:rPr>
            </w:pP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 expense,</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assets include investment securities in non-qualified retirement plan assets and the Company’s option to increase its economic interest in Bonnie Plants, Inc. (the “Bonnie Option”). Other liabilities include the contingent consideration related to the acquisition of Sunlight Supply.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30,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divides its operations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w:t>
      </w:r>
    </w:p>
    <w:p>
      <w:pPr>
        <w:spacing w:after="0" w:line="11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Senior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uses Segment Profit (Loss) to evaluate segment performance because the Company believes this measure is indicative of performance trends and the overall earnings potential of each segment.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1,046.1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70.3</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248.3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Profit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115.4</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2,597.0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2,487.6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37"/>
        </w:trPr>
        <w:tc>
          <w:tcPr>
            <w:tcW w:w="364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3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3,956.5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vMerge w:val="restart"/>
          </w:tcPr>
          <w:p>
            <w:pPr>
              <w:jc w:val="right"/>
              <w:ind w:right="85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Lawn care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425.1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Growing media</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355.9</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Controls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137.0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Restated Marketing Agreement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70.4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Indoor, urban and hydroponic gardening</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118.5</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Lawn care</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Growing media</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primarily gardening and controls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22.0</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10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1,124.6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1,371.5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1,189.9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40" w:type="dxa"/>
            <w:vAlign w:val="bottom"/>
            <w:vMerge w:val="restart"/>
          </w:tcPr>
          <w:p>
            <w:pPr>
              <w:jc w:val="right"/>
              <w:ind w:right="63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Fifth A&amp;R Credit Agreement, except a release by or as a result of the repayment of the Fifth A&amp;R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100% directly or indirectly owned subsidiaries fully and unconditionally guarantee at March 30, 2019 the 6.000% and 5.250% Senior Notes on a joint and several basis: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SLS Holdings, Inc. and SMG ITO Holdings, Inc. (collectively, the “Guarantors”). Effective in the three month period ending March 30, 2019, Gutwein &amp; Co., Inc. was dissolved and its subsidiary guarantee was released.</w:t>
      </w:r>
    </w:p>
    <w:p>
      <w:pPr>
        <w:spacing w:after="0" w:line="97"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six months ended March 30, 2019 and March 31, 2018, Condensed Consolidating Statements of Comprehensive Income (Loss) for the three and six months ended March 30, 2019 and March 31, 2018, Condensed Consolidating Statements of Cash Flows for the six months ended March 30, 2019 and March 31, 2018, and Condensed Consolidating Balance Sheets as of March 30, 2019, March 31, 2018 and September 30, 2018.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Fifth A&amp;R Credit Facilities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six months ended March 30, 2019 and March 31, 2018 are $797.9 million and $554.0 million, respectively, of dividends paid by the Guarantors and Non-Guarantors to the Parent representing return of investments and as such are classified within cash flows from investing activities. Included in the Parent Condensed Consolidating Statement of Cash Flows for the six months ended March 30, 2019 and March 31, 2018 are zero and $12.2 million, respectively, of dividends paid by the Guarantors and Non-Guarantors to the Parent representing return on investments and as such are classified within cash flows from operating activities.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loans receivable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(investments in) distributions from unconsolidated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$797.9 million represent return of investments and are included in cash flows from investing activities. Cash received by the Guarantors from the Non-Guarantors in the form of dividends in the amount of $2.3 million represent return of investments and are included in cash flows from investing activities.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3,956.5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Comprehensive income attributable to 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CASH PROVIDED BY (USED IN) OPERATING ACTIVITIES</w:t>
            </w: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(503.5)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0" w:type="dxa"/>
            <w:vAlign w:val="bottom"/>
          </w:tcPr>
          <w:p>
            <w:pPr>
              <w:spacing w:after="0"/>
              <w:rPr>
                <w:sz w:val="1"/>
                <w:szCs w:val="1"/>
                <w:color w:val="auto"/>
              </w:rPr>
            </w:pPr>
          </w:p>
        </w:tc>
      </w:tr>
      <w:tr>
        <w:trPr>
          <w:trHeight w:val="1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260" w:type="dxa"/>
            <w:vAlign w:val="bottom"/>
            <w:tcBorders>
              <w:bottom w:val="single" w:sz="8" w:color="CCEEFF"/>
            </w:tcBorders>
            <w:vMerge w:val="continue"/>
            <w:shd w:val="clear" w:color="auto" w:fill="CCEEFF"/>
          </w:tcPr>
          <w:p>
            <w:pPr>
              <w:spacing w:after="0"/>
              <w:rPr>
                <w:sz w:val="13"/>
                <w:szCs w:val="13"/>
                <w:color w:val="auto"/>
              </w:rPr>
            </w:pPr>
          </w:p>
        </w:tc>
        <w:tc>
          <w:tcPr>
            <w:tcW w:w="102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11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0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Post-closing working capital payment related to sale of</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International Business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Investing cash flows from (to) affiliates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w w:val="99"/>
              </w:rPr>
              <w:t>Borrowings under revolving and bank lines of credit and term</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1,032.9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1,172.6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Repayments under revolving and bank lines of credit and term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Payments on seller notes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Acquisition of noncontrolling interests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$554.0 million represent return of investments and are included in cash flows from investing activities. Cash received by the Parent from the Guarantors and Non-Guarantors in the form of dividends in the amount of $12.2 million represent return on investments and are included in cash flows from operating activities. Cash received by the Guarantors from the Non-Guarantors in the form of dividends in the amount of $1.8 million represent return on investments and are included in cash flows from operating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2018 (the “2018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in the United States. We are the exclusive agent of Monsanto for the marketing and distribution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within the United States and certain other specified countries. Through our Hawthorne segment, we are a leading manufacturer, marketer and distributor of nutrients, growing media, advanced indoor garden, lighting and ventilation systems and accessories for hydroponic gardening.</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2018</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of Scotts Miracle-Gro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an aggregate amount of $1.0 billion through September 30, 2019. There were no share repurchases under the program during the three and six months ended March 30, 2019. From the inception of this share repurchase program in the fourth quarter of fiscal 2014 through March 30, 2019, Scotts Miracle-Gro repurchased approximately 8.3 million Common Shares for $714.6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 for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700" w:type="dxa"/>
            <w:vAlign w:val="bottom"/>
          </w:tcPr>
          <w:p>
            <w:pPr>
              <w:spacing w:after="0"/>
              <w:rPr>
                <w:sz w:val="13"/>
                <w:szCs w:val="13"/>
                <w:color w:val="auto"/>
              </w:rPr>
            </w:pPr>
          </w:p>
        </w:tc>
        <w:tc>
          <w:tcPr>
            <w:tcW w:w="14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30,</w:t>
            </w:r>
          </w:p>
        </w:tc>
        <w:tc>
          <w:tcPr>
            <w:tcW w:w="146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MARCH 31,</w:t>
            </w:r>
          </w:p>
        </w:tc>
        <w:tc>
          <w:tcPr>
            <w:tcW w:w="14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MARCH 30,</w:t>
            </w:r>
          </w:p>
        </w:tc>
        <w:tc>
          <w:tcPr>
            <w:tcW w:w="13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64.1</w:t>
            </w: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35.9</w:t>
            </w: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22.2</w:t>
            </w: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0.5</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10.7</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0"/>
        </w:trPr>
        <w:tc>
          <w:tcPr>
            <w:tcW w:w="57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-98425</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March 30, 2019 were $1,189.9 million, an increase of 17.4% from net sales of $1,013.3 million for the three months ended March 31, 2018. Net sales for the six months ended March 30, 2019 were $1,488.0 million, an increase of 20.5% from net sales of $1,234.9 million for the six months ended March 31, 2018. These changes in net sales were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35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30, 2019</w:t>
            </w:r>
          </w:p>
        </w:tc>
        <w:tc>
          <w:tcPr>
            <w:tcW w:w="2360" w:type="dxa"/>
            <w:vAlign w:val="bottom"/>
          </w:tcPr>
          <w:p>
            <w:pPr>
              <w:jc w:val="right"/>
              <w:ind w:right="535"/>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5.6</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Pr>
          <w:p>
            <w:pPr>
              <w:jc w:val="right"/>
              <w:ind w:right="9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net sales for the three months ended March 30, 2019 as compared to the three months ended March 31, 2018 was primarily driven by:</w:t>
      </w:r>
    </w:p>
    <w:p>
      <w:pPr>
        <w:spacing w:after="0" w:line="140"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net sales from the Sunlight Supply acquisition of $91.4 million in our Hawthorne segment (refer to “NOTE 4. ACQUISITIONS AND INVESTMENTS” for more information regarding the Sunlight Supply acquisition);</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soils, mulch, grass seed, fertilizer and controls products in our U.S. Consumer segment, hydroponic gardening products in our Hawthorne segment excluding the impact of acquisitions and increased sales in our Other segment from our business in Canada; and</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in our U.S. Consumer segment, partially offset by decreased pricing in our Hawthorne segment primarily driven by increased promotional activities;</w:t>
      </w:r>
    </w:p>
    <w:p>
      <w:pPr>
        <w:spacing w:after="0" w:line="62"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partially offset by an anticipated contractual decrease in commission income and lower reimbursements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440" w:right="180" w:firstLine="216"/>
        <w:spacing w:after="0" w:line="440"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strengthening of the U.S. dollar relative to the euro and the Canadian dollar. The increase in net sales for the six months ended March 30, 2019 as compared to the six months ended March 31, 2018 was primarily driven by:</w:t>
      </w: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net sales from the Sunlight Supply acquisition of $163.0 million in our Hawthorne segment (refer to “NOTE 4. ACQUISITIONS AND INVESTMENTS” for more information regarding the Sunlight Supply acquisition);</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soils, mulch, grass seed, fertilizer and controls products in our U.S. Consumer segment, hydroponic gardening products in our Hawthorne segment excluding the impact of acquisitions and increased sales in our Other segment from our business in Canada; and</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pricing in our U.S. Consumer segment, partially offset by decreased pricing in our Hawthorne segment primarily driven by increased promotional activities;</w:t>
      </w:r>
    </w:p>
    <w:p>
      <w:pPr>
        <w:spacing w:after="0" w:line="62"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an anticipated contractual decrease in commission income and lower reimbursements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strengthening of the U.S. dollar relative to the euro and the Canadian dollar.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460" w:type="dxa"/>
            <w:vAlign w:val="bottom"/>
            <w:gridSpan w:val="4"/>
          </w:tcPr>
          <w:p>
            <w:pPr>
              <w:jc w:val="center"/>
              <w:ind w:right="16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8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341.7</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151.1</w:t>
            </w: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w:t>
            </w:r>
          </w:p>
        </w:tc>
      </w:tr>
      <w:tr>
        <w:trPr>
          <w:trHeight w:val="270"/>
        </w:trPr>
        <w:tc>
          <w:tcPr>
            <w:tcW w:w="5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w:t>
            </w: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604.1</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000" w:type="dxa"/>
            <w:vAlign w:val="bottom"/>
            <w:gridSpan w:val="4"/>
          </w:tcPr>
          <w:p>
            <w:pPr>
              <w:ind w:left="440"/>
              <w:spacing w:after="0"/>
              <w:rPr>
                <w:sz w:val="20"/>
                <w:szCs w:val="20"/>
                <w:color w:val="auto"/>
              </w:rPr>
            </w:pPr>
            <w:r>
              <w:rPr>
                <w:rFonts w:ascii="Arial" w:cs="Arial" w:eastAsia="Arial" w:hAnsi="Arial"/>
                <w:sz w:val="18"/>
                <w:szCs w:val="18"/>
                <w:color w:val="auto"/>
                <w:w w:val="97"/>
              </w:rPr>
              <w:t>Factors contributing to the change in cost of sales are outlined in the following table: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3"/>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2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2019</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117.7</w:t>
            </w:r>
          </w:p>
        </w:tc>
        <w:tc>
          <w:tcPr>
            <w:tcW w:w="920" w:type="dxa"/>
            <w:vAlign w:val="bottom"/>
            <w:tcBorders>
              <w:bottom w:val="single" w:sz="8" w:color="CCEEFF"/>
            </w:tcBorders>
            <w:gridSpan w:val="2"/>
            <w:shd w:val="clear" w:color="auto" w:fill="CCEEFF"/>
          </w:tcPr>
          <w:p>
            <w:pPr>
              <w:jc w:val="center"/>
              <w:ind w:right="46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113.7</w:t>
            </w:r>
          </w:p>
        </w:tc>
        <w:tc>
          <w:tcPr>
            <w:tcW w:w="920" w:type="dxa"/>
            <w:vAlign w:val="bottom"/>
            <w:tcBorders>
              <w:bottom w:val="single" w:sz="8" w:color="CCEEFF"/>
            </w:tcBorders>
            <w:gridSpan w:val="2"/>
            <w:shd w:val="clear" w:color="auto" w:fill="CCEEFF"/>
          </w:tcPr>
          <w:p>
            <w:pPr>
              <w:jc w:val="center"/>
              <w:ind w:right="46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cost of sales for the three months ended March 30, 2019 as compared to the three months ended March 31, 2018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$78.1 million included within “volume, product mix and other” related to sales from the Sunlight Supply acquisition in our Hawthorne segment;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 excluding the impact of acquisitions;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material costs in our U.S. Consumer segment;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of $1.0 million related to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lower transportation costs included within “volume, product mix and other” associated with our U.S. Consumer, Hawthorne and Other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strengthening of the U.S. dollar relative to the euro and the Canadian dollar;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reimbursements attributable to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cost of sales for the six months ended March 30, 2019 as compared to the six months ended March 31, 2018 was primarily driven by:</w:t>
      </w:r>
    </w:p>
    <w:p>
      <w:pPr>
        <w:spacing w:after="0" w:line="154"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$140.9 million included within “volume, product mix and other” related to sales from the Sunlight Supply acquisition in our Hawthorne segment;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 excluding the impact of acquisitions;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 including unfavorable mark-to-market adjustments associated with our fuel and resin hedges of $4.5 million;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material costs in our U.S. Consumer segment; and</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of $3.5 million related to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the favorable impact of foreign exchange rates as a result of the strengthening of the U.S. dollar relative to the euro and the Canadian dollar;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reimbursements attributable to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39.7% and 40.4% for the three months ended March 30, 2019 and March 31, 2018, respectively. As a percentage of net sales, our gross profit rate was 34.1% and 35.9% for the six months ended March 30, 2019 and March 31, 2018,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30, 2019</w:t>
            </w:r>
          </w:p>
        </w:tc>
        <w:tc>
          <w:tcPr>
            <w:tcW w:w="2360" w:type="dxa"/>
            <w:vAlign w:val="bottom"/>
          </w:tcPr>
          <w:p>
            <w:pPr>
              <w:jc w:val="right"/>
              <w:ind w:right="534"/>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658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 product mix and other</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r>
      <w:tr>
        <w:trPr>
          <w:trHeight w:val="237"/>
        </w:trPr>
        <w:tc>
          <w:tcPr>
            <w:tcW w:w="658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gross profit rate for the three months ended March 30, 2019 as compared to the three months ended March 31, 2018 was primarily driven by:</w:t>
      </w:r>
    </w:p>
    <w:p>
      <w:pPr>
        <w:spacing w:after="0" w:line="7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related to Sunlight Supply;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anticipated contractual decrease in commission income associated with the Restated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52"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product mix in our U.S. Consumer segment due to increased sales of mulch products; and</w:t>
      </w:r>
    </w:p>
    <w:p>
      <w:pPr>
        <w:spacing w:after="0" w:line="11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material costs in our U.S. Consumer segment;</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increased pricing in our U.S. Consumer segment, net of decreased pricing in our Hawthorne segment primarily driven by increased promotional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favorable leverage of fixed costs such as warehousing driven by higher sales volume in our U.S. Consumer, Hawthorne and Other segments; and</w:t>
      </w:r>
    </w:p>
    <w:p>
      <w:pPr>
        <w:spacing w:after="0" w:line="140"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transportation costs included within “volume, product mix and other” associated with our U.S. Consumer, Hawthorne and Other segments.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decrease in gross profit rate for the six months ended March 30, 2019 as compared to the six months ended March 31, 2018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related to Sunlight Supply;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anticipated contractual decrease in commission income associated with the Restated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52" w:lineRule="exact"/>
        <w:rPr>
          <w:rFonts w:ascii="Arial" w:cs="Arial" w:eastAsia="Arial" w:hAnsi="Arial"/>
          <w:sz w:val="17"/>
          <w:szCs w:val="17"/>
          <w:color w:val="auto"/>
        </w:rPr>
      </w:pPr>
    </w:p>
    <w:p>
      <w:pPr>
        <w:ind w:left="980" w:hanging="324"/>
        <w:spacing w:after="0" w:line="27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 including unfavorable mark-to-market adjustments associated with our fuel and resin hedges of $4.5 million; and</w:t>
      </w:r>
    </w:p>
    <w:p>
      <w:pPr>
        <w:spacing w:after="0" w:line="6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material costs in our U.S. Consumer segment;</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increased pricing in our U.S. Consumer segment, net of decreased pricing in our Hawthorne segment primarily driven by increased promotional activities;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favorable leverage of fixed costs such as warehousing driven by higher sales volume in our U.S. Consumer, Hawthorne and Other segments.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15.7</w:t>
            </w: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w:t>
            </w:r>
          </w:p>
        </w:tc>
      </w:tr>
      <w:tr>
        <w:trPr>
          <w:trHeight w:val="237"/>
        </w:trPr>
        <w:tc>
          <w:tcPr>
            <w:tcW w:w="56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274.2</w:t>
            </w:r>
          </w:p>
        </w:tc>
      </w:tr>
      <w:tr>
        <w:trPr>
          <w:trHeight w:val="27"/>
        </w:trPr>
        <w:tc>
          <w:tcPr>
            <w:tcW w:w="5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SG&amp;A increased $13.7 million, or 8.3%, during the three months ended March 30, 2019 compared to the three months ended March 31, 2018. Advertising expense increased $7.4 million, or 15.8%, during the three months ended March 30, 2019 driven by increased media spending in our U.S. Consumer segment. Amortization expense increased $1.6 million, or 23.9%, during the three months ended March 30, 2019 primarily due to the impact of recent acquisitions. Share-based compensation expense increased $0.7 million, or 7.2%, during the three months ended March 30, 2019 due to an increase in the expected payout percentage on long-term performance-based awards as a result of strong cash flow performance over the last two years and expectations for future periods. Other SG&amp;A increased $5.1 million, or 5.5%, during the three months ended March 30, 2019 driven by the impact of recent acquisitions of $4.2 million and higher short-term variable cash incentive compensation expense.</w:t>
      </w:r>
    </w:p>
    <w:p>
      <w:pPr>
        <w:spacing w:after="0" w:line="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SG&amp;A increased $21.8 million, or 8.0%, during the six months ended March 30, 2019 compared to the six months ended March 31, 2018. Advertising expense increased $7.1 million, or 12.4%, during the six months ended March 30, 2019 driven by increased media spending in our U.S. Consumer segment. Amortization expense increased $3.2 million, or 24.1%, during the six months ended March 30, 2019 primarily due to the impact of recent acquisitions. Share-based compensation expense increased $1.3 million, or 8.3%, during the six months ended March 30, 2019 due to an increase in the expected payout percentage on long-term performance-based awards as a result of strong cash flow performance over the last two years and expectations for future periods. Other SG&amp;A increased $11.5 million, or 6.8%, during the six months ended March 30, 2019 driven by the impact of recent acquisitions of $8.6 million and higher short-term variable cash incentive compensation expense.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(recoveries) recorded in the “Cost of sales—impairment, restructuring and other,” “Impairment, restructuring and other” and “Income (loss) from discontinued operations, net of tax” lines in the Condensed Consolidated Statements of Operations: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net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w w:val="97"/>
              </w:rPr>
              <w:t>Impairment, restructuring and other charges from continuing operations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r>
        <w:trPr>
          <w:trHeight w:val="67"/>
        </w:trPr>
        <w:tc>
          <w:tcPr>
            <w:tcW w:w="5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182"/>
        </w:trPr>
        <w:tc>
          <w:tcPr>
            <w:tcW w:w="55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Restructuring and other charges (recoveries), net, from discontinued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w:t>
            </w:r>
          </w:p>
        </w:tc>
      </w:tr>
      <w:tr>
        <w:trPr>
          <w:trHeight w:val="27"/>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recent acquisitions within our Hawthorne segment. During the three and six months ended March 30, 2019, we continued to execute on planned facility closures and consolidations and terminated employees in duplicate roles which resulted in charges of $2.1 million and $7.6 million, respectively, related to Project Catalyst. We incurred charges of $0.1 million and $0.4 million in our U.S. Consumer segment, $0.6 million and $2.5 million in our Hawthorne segment and $0.3 million and $0.6 million in our Other segment in the “Cost of sales—impairment, restructuring and other” line in the Condensed Consolidated Statements of Operations during the three and six months ended March 30, 2019, respectively, related to employee termination benefits, facility closure costs and impairment of property, plant and equipment. We incurred charges of $0.1 million and $0.5 million in our U.S. Consumer segment, $0.4 million and $2.1 million in our Hawthorne segment, $0.5 million and $0.6 million in our Other segment and $0.1 million and $0.9 million at Corporate in the “Impairment, restructuring and other” line in the Condensed Consolidated Statements of Operations during the three and six months ended March 30, 2019, respectively, related to employee termination benefits and facility closure costs. Costs incurred to date since the inception of Project Catalyst are $22.4 million for our Hawthorne segment, $12.5 million for our U.S. Consumer segment, $1.2 million for our Other segment and $0.9 million for Corporate.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six months ended March 31, 2018, our U.S. Consumer segment recognized adjustments of $0.1 million and $0.3 million, respectively, related to previously recognized termination benefits associated with Project Focus in the “Impairment, restructuring and other” line in the Condensed Consolidated Statements of Operations. Costs incurred to date since the inception of the current Project Focus initiatives are $10.0 million for our U.S. Consumer segment, $0.9 million for our Hawthorne segment and $1.2 million for our Other segment, related to transaction activity, termination benefits and facility closure costs.</w:t>
      </w:r>
    </w:p>
    <w:p>
      <w:pPr>
        <w:spacing w:after="0" w:line="4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31, 2017, we completed the sale of the International Business. Refer to “NOTE 3. DISCONTINUED OPERATIONS” for more information. During the three and six months ended March 31, 2018, we recognized $0.2 million and $1.6 million, respectively, in transaction related costs associated with the sale of the International Business in the “Income (loss) from discontinued operations, net of tax” line in the Condensed Consolidated Statements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During the three and six months ended March 30, 2019, we received insurance reimbursement payments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of $8.4 million and $13.4 million, respectively. We recognized insurance recoveries of $5.0 million related to this matter in the “Income (loss) from discontinued operations, net of tax” line in the Condensed Consolidated Statements of Operations during the first quarter of fiscal 2019, and the remaining $8.4 million of reimbursements have been recognized as an accrued liability in the Condensed Consolidated Balance Sheets as of March 30, 2019 pending the finalization of the settlement. Refer to “NOTE 12. CONTINGENCIES” for more information.</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three and six months ended March 30, 2019, we recognized favorable adjustments of $0.9 million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 During the three and six months ended March 31, 2018, we recognized a charge of $10.2 million for a probable loss related to this matter in the “Impairment, restructuring and other” line in the Condensed Consolidated Statements of Operations. Refer to “NOTE 12. CONTINGENCIES”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Other (income) expense, net is comprised of activities outside our normal business operations, such as royalty income from the licensing of certain of our brand names, foreign exchange gains/losses and gains/losses from the disposition of non-inventory assets. Other expense was $2.0 million and $0.7 million for the three months ended March 30, 2019 and March 31, 2018, respectively. The increase was primarily due to foreign exchange losses, losses on long-lived assets and a decrease in royalty income earned from Exponent related to its use of our brand names following the divestiture of the International Business. Refer to “NOTE 3. DISCONTINUED OPERATIONS” for more information regarding the divestiture of the International Business.</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(income) expense was $1.6 million and $(1.4) million for the six months ended March 30, 2019 and March 31, 2018, respectively. The change was primarily due to losses on long-lived assets and a decrease in royalty income earned from Exponent related to its use of our brand names following the divestiture of the International Business. Refer to “NOTE 3. DISCONTINUED OPERATIONS” for more information regarding the divestiture of the International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Income from operations was $290.2 million for the three months ended March 30, 2019, an increase of 24.9% compared to $232.3 million for the three months ended March 31, 2018. Income from operations was $205.4 million for the six months ended March 30, 2019, an increase of 28.1% compared to $160.4 million for the six months ended March 31, 2018. For the three and six months ended March 30, 2019, the increase was driven by higher net sales and lower impairment, restructuring and other charges, partially offset by a decrease in gross profit rate, higher SG&amp;A and decreased other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Equity in income of unconsolidated affiliates was $2.0 million and $1.5 million for the three months ended March 30, 2019 and March 31, 2018, respectively. Equity in income of unconsolidated affiliates was $3.3 million and $2.1 million for the six months ended March 30, 2019 and March 31, 2018, respectively. The increase was attributable to our unconsolidated subsidiary with products supporting the professional U.S. industrial, turf and ornamental market. On April 1, 2019, we sold all of our equity interest in the IT&amp;O Joint Venture for cash proceeds of $36.6 million and a pre-tax gain of approximately $3.0 million will be recognized in the “Other non-operating (income) expense, net” line in the Condensed Consolidated Statements of Operations for our third quarter of fiscal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$28.9 million for the three months ended March 30, 2019, an increase of 27.9% compared to $22.6 million for the three months ended March 31, 2018. The increase was driven by an increase in average borrowings of $362.5 million and an increase in our weighted average interest rate of 50 basis points. The increase in average borrowings was driven by recent acquisition activity. The increase in the weighted average interest rate was driven by rising market rates.</w:t>
      </w:r>
    </w:p>
    <w:p>
      <w:pPr>
        <w:spacing w:after="0" w:line="10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$54.1 million for the six months ended March 30, 2019, an increase of 33.9% compared to $40.4 million for the six months ended March 31, 2018. The increase was driven by an increase in average borrowings of $460.9 million and an increase in our weighted average interest rate of 40 basis points. The increase in average borrowings was driven by recent acquisition activity. The increase in the weighted average interest rate was driven by rising market rates.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non-operating (income) expense was $(260.1) million and $9.2 million for the three months ended March 30, 2019 and March 31, 2018, respectively. Other non-operating (income) expense was $(262.9) million and $6.7 million for the six months ended March 30, 2019 and March 31, 2018, respectively.</w:t>
      </w:r>
    </w:p>
    <w:p>
      <w:pPr>
        <w:spacing w:after="0" w:line="10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March 19, 2019, we entered into an agreement under which we sold, to TruGreen Companies L.L.C., a subsidiary of TruGreen Holding Corporation, all of our approximately 30% equity interest in Outdoor Home Services Holdings LLC, a lawn services joint venture between the Company and TruGreen Holding Corporation (the “TruGreen Joint Venture”). Prior to this transaction, our net investment and advances with respect to the TruGreen Joint Venture had been reduced to a liability which resulted in an amount recorded in the “Distributions in excess of investment in unconsolidated affiliate” line in the Condensed Consolidated Balance Sheets. Under the terms of the agreement, we received cash proceeds of $234.2 million related to the sale of our equity interest in the TruGreen Joint Venture and $18.4 million related to the payoff of second lien term loan financing, which was previously recorded in the “Other assets” line in the Condensed Consolidated Balance Sheets. During the three and six months ended March 30, 2019, we also received a distribution from the TruGreen Joint Venture intended to cover certain required tax payments of $3.5 million, which was classified as an investing activity in the Condensed Consolidated Statements of Cash Flows. During the three and six months ended March 30, 2019, we recognized a pre-tax gain of $259.8 million related to this sale in the “Other non-operating (income) expense” line in the Condensed Consolidated Statements of Operations. The cash proceeds have been applied to reduce our indebtedness, and we expect to pay taxes associated with the disposition of approximately $110.0 million to $130.0 million during the third and fourth quarters of fiscal 2019.</w:t>
      </w:r>
    </w:p>
    <w:p>
      <w:pPr>
        <w:spacing w:after="0" w:line="9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three and six months ended March 30, 2019, we recognized a charge of $2.5 million in the “Other non-operating (income) expense, net” line in the Condensed Consolidated Statements of Operations related to the write-off of accumulated foreign currency translation loss adjustments of a foreign subsidiary that was substantially liquidated. During the three and six months ended March 31, 2018, we repatriated cash from a foreign subsidiary resulting in the liquidation of substantially all of the assets of the subsidiary and the write-off of accumulated foreign currency translation loss adjustments of $11.7 million within the “Other non-operating (income) expense, net” line in the Condensed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22, 2017, H.R.1 (the “Act,” formerly known as the “Tax Cuts and Jobs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 As our fiscal year end falls on September 30, the federal corporate statutory tax rate for fiscal 2018 was prorated to 24.5%, with the statutory tax rate for fiscal 2019 and beyond at 21%.</w:t>
      </w:r>
    </w:p>
    <w:p>
      <w:pPr>
        <w:spacing w:after="0" w:line="10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rates related to continuing operations for the six months ended March 30, 2019 and March 31, 2018 were 24.7% and (15.0)%, respectively. During the six months ended March 31, 2018, we recognized a one-time $45.9 million net tax benefit adjustment reflecting the revaluation of our net deferred tax liability at the lower tax rate under the Act. In addition, as part of the Act, we recognized a one-time tax expense on deemed repatriated earnings and cash of foreign subsidiaries as required by the Act of $14.0 million, partially offset by the recognition and application of foreign tax credits associated with these foreign subsidiaries of $13.9 million.</w:t>
      </w:r>
    </w:p>
    <w:p>
      <w:pPr>
        <w:spacing w:after="0" w:line="10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effective tax rate used for interim purposes is based on our best estimate of factors impacting the effective tax rate for the full fiscal year. The ultimate impact of the Act may differ from our estimates due to changes in the interpretations and assumptions made by us as well as additional regulatory guidance that may be issued.</w:t>
      </w:r>
    </w:p>
    <w:p>
      <w:pPr>
        <w:spacing w:after="0" w:line="10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$396.9 million, or $7.10 per diluted share, for the three months ended March 30, 2019 compared to $152.7 million, or $2.66 per diluted share, for the three months ended March 31, 2018. The increase was driven by higher net sales, an increase in other non-operating income and lower impairment, restructuring and other charges, partially offset by a lower gross profit rate, higher SG&amp;A, higher interest expense and an increase in income tax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55.9 million for the three months ended March 30, 2019 compared to 57.4 million for the three months ended March 31, 2018. The decrease was primarily the result of Common Share repurchase activity during fiscal 2018, partially offset by the exercise and issuance of share-based compensation awards and the payment of a portion of the purchase price of Sunlight Supply in Common Shares.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$314.3 million, or $5.62 per diluted share, for the six months ended March 30, 2019 compared to $132.7 million, or $2.29 per diluted share, for the six months ended March 31, 2018. The increase was driven by higher net sales, an increase in other non-operating income and lower impairment, restructuring and other charges, partially offset by a lower gross profit rate, higher SG&amp;A, higher interest expense and an increase in income tax expense.</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55.9 million for the six months ended March 30, 2019 compared to 58.0 million for the six months ended March 31, 2018. The decrease was primarily the result of Common Share repurchase activity during fiscal 2018, partially offset by the exercise and issuance of share-based compensation awards and the payment of a portion of the purchase price of Sunlight Supply in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(loss) from discontinued operations, net of tax, was $(0.5) million and $2.5 million for the three and six months ended March 30, 2019, respectively, as compared to $(3.7) million and $(4.9) million for the three and six months ended March 31, 2018, respectively.</w:t>
      </w:r>
    </w:p>
    <w:p>
      <w:pPr>
        <w:spacing w:after="0" w:line="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During the three and six months ended March 30, 2019, we received insurance reimbursement payments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of $8.4 million and $13.4 million, respectively. We recognized insurance recoveries of $5.0 million related to this matter in the “Income (loss) from discontinued operations, net of tax” line in the Condensed Consolidated Statements of Operations during the first quarter of fiscal 2019, and the remaining $8.4 million of reimbursements have been recognized as an accrued liability in the Condensed Consolidated Balance Sheets as of March 30, 2019 pending the finalization of the settlement. Refer to “NOTE 12. CONTINGENCIES” for more information.</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and six months ended March 31, 2018, we recognized $0.2 million and $1.6 million, respectively, in transaction related costs associated with the sale of the International Business. During the three months ended March 31, 2018, we recorded a reduction to the gain on the sale of the International Business of $3.7 million related to the resolution of the post-closing working capital adjustment obligation. Refer to “NOTE 3. DISCONTINUED OPERATIONS” 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divide our operations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1,046.1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118.5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70.3</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1,189.9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1,488.0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1,234.9</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Profit (Loss) as well as a reconciliation to the most directly comparable GAAP measure: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Segment Profit (Non-GAAP)</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242.8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 (GAAP)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U.S. Consumer segment net sales were $993.5 million in the second quarter of fiscal 2019, an increase of 8.0% from second quarter of fiscal 2018 net sales of $920.2 million; and were $1,130.4 million for the first six months of fiscal 2019, an increase of 8.1% from the first six months of fiscal 2018 net sales of $1,046.1 million. For the second quarter of fiscal 2019, the increase was driven by the favorable impacts of volume and pricing of 4.4% and 3.6%, respectively. For the six months ended March 30, 2019, the increase was driven by the favorable impacts of volume and pricing of 5.1% and 2.9%, respectively. The increase in sales volume for the three and six months ended March 30, 2019 was driven by increased sales of soils, mulch, grass seed, fertilizer and controls products. Subsequent to March 30, 2019, Monsanto agreed to reimburse us for $20.0 million of additional expenses incurred and to be incurred for certain activities connected to the Restated Marketing Agreement. The $20.0 million payment will be included in the “Net sales” line in the Condensed Consolidated Statements of Operations for the third quarter of fiscal 2019.</w:t>
      </w:r>
    </w:p>
    <w:p>
      <w:pPr>
        <w:spacing w:after="0" w:line="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U.S. Consumer Segment Profit was $320.0 million in the second quarter of fiscal 2019, an increase of 11.8% from the second quarter of fiscal 2018 Segment Profit of $286.2 million; and was $277.0 million for the first six months of fiscal 2019, an increase of 11.6% from the first six months of fiscal 2018 Segment Profit of $248.3 million. For the three and six months ended March 30, 2019, the increase was primarily due to higher net sales and a higher gross profit rate, partially offset by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Hawthorne segment net sales were $144.1 million in the second quarter of fiscal 2019, an increase of 244.7% from second quarter of fiscal 2018 net sales of $41.8 million; and were $284.8 million for the first six months of fiscal 2019, an increase of 140.3% from the first six months of fiscal 2018 net sales of $118.5 million. For the second quarter of fiscal 2019, the increase was driven by the favorable impacts of acquisitions and volume of 218.8% and 34.6%, respectively, partially offset by the unfavorable impacts of pricing and changes in foreign exchange rates of 4.7% and 3.9%, respectively. For the six months ended March 30, 2019, the increase was driven by the favorable impacts of acquisitions and volume of 137.5% and 9.5%, respectively, partially offset by the unfavorable impacts of pricing and changes in foreign exchange rates of 3.8% and 2.9%, respectively.</w:t>
      </w:r>
    </w:p>
    <w:p>
      <w:pPr>
        <w:spacing w:after="0" w:line="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Hawthorne Segment Profit was $10.3 million in the second quarter of fiscal 2019, as compared to the second quarter of fiscal 2018 Segment Loss of $4.8 million; and was $14.7 million for the first six months of fiscal 2019, as compared to the first six months of fiscal 2018 Segment Loss of $3.0 million. For the three and six months ended March 30, 2019, the increase was driven by higher net sales and the acquisition of Sunlight Supply, partially offset by a lower gross profit rate and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segment net sales were $52.3 million in the second quarter of fiscal 2019, an increase of 1.9% from second quarter of fiscal 2018 net sales of $51.3 million; and were $72.8 million for the first six months of fiscal 2019, an increase of 3.6% from the first six months of fiscal 2018 net sales of $70.3 million. For the second quarter of fiscal 2019, the increase was driven by the favorable impacts of volume and price of 4.0% and 1.7%, respectively, partially offset by the unfavorable impact of changes in foreign exchange rates of 3.7%. For the six months ended March 30, 2019, the increase was driven by the favorable impacts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volume and price of 6.2% and 1.1%, respectively, partially offset by the unfavorable impact of changes in foreign exchange rates of 3.7%.</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Segment Profit was $3.8 million in the second quarter of fiscal 2019, an increase of 137.5% from second quarter of fiscal 2018 Segment Profit of $1.6 million. Other Segment Loss was $0.2 million for the first six months of fiscal 2019, a decrease of 92.0% from the first six months of fiscal 2018 Segment Loss of $2.5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Corporate expenses were $34.3 million in the second quarter of fiscal 2019, an increase of 2.1% from second quarter of fiscal 2018 expenses of $33.6 million; and were $62.1 million for the first six months of fiscal 2019, an increase of 5.8% from the first six months of fiscal 2018 expenses of $58.7 million. The increase was driven by higher share-based compensation expense due to an increase in the expected payout percentage on long-term performance-based awards as a result of strong cash flow performance over the last two years and expectations for future periods, and a decrease in royalty income earned from Exponent related to its use of our brand names following our divestiture of the International Business. Refer to “NOTE 3. DISCONTINUED OPERATIONS” for more information regarding the divestiture of the International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used in operating activities totaled $546.1 million for the six months ended March 30, 2019, an increase of $63.3 million as compared to cash used in operating activities of $482.8 million for the six months ended March 31, 2018. This increase was driven by payments made in connection with litigation settlements, timing of customer rebate payments, timing of inventory production, an increase in interest payments and higher SG&amp;A, partially offset by lower short-term variable cash incentive payouts.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Cash provided by investing activities totaled $229.7 million for the six months ended March 30, 2019, an increase of $377.6 million as compared to cash used in investing activities of $147.9 million for the six months ended March 31, 2018. During the six months ended March 30, 2019, we sold our investment in the TruGreen Joint Venture for cash proceeds of $234.2 million related to the sale of the equity interest and $18.4 million related to the payoff of second lien term loan financing. Cash used for investments in property, plant and equipment during the first six months of fiscal 2019 and 2018 was $20.9 million and $33.1 million, respectively. During the six months ended March 30, 2019, we paid a post-closing net working capital adjustment obligation of $6.6 million related to the fiscal 2018 acquisition of Sunlight Supply and we received cash of $1.0 million associated with currency forward contracts. During the six months ended March 31, 2018, we completed the acquisition of Can-Filters, which included a cash outflow of $72.0 million, paid the post-closing working capital adjustment obligation of $35.3 million related to the sale of the International Business and made loans to unconsolidated affiliates of $7.7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provided by financing activities totaled $320.6 million for the six months ended March 30, 2019, a decrease of $220.1 million as compared to cash provided by financing activities of $540.7 million for the six months ended March 31, 2018. This decrease was the result of a decrease in net borrowings under our Fifth A&amp;R Credit Facilities of $545.5 million driven by proceeds from the sale of the TruGreen Joint Venture that were used to reduce our indebtedness, a decrease in repurchases of our Common Shares of $253.8 million and a cash outflow of $72.2 million related to the acquisition of the remaining 25% noncontrolling interest in Gavita during the six months ended March 31,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$37.5 million, $33.0 million and $33.9 million as of March 30, 2019, March 31, 2018 and September 30, 2018, respectively, included $25.6 million, $9.8 million and $17.7 million, respectively, held by controlled foreign corporations. As of March 30, 2019, and after consideration of the one-time transition tax on deemed repatriation of foreign earnings, we have no material unremitted earnings of foreign subsidiaries. However, we maintain our assertions of indefinite reinvestment of the earnings of all material foreign subsidiaries with the exception of the earnings of Scotts Luxembourg Sarl and O.M. Scott International Investments, Ltd., which are generally taxed on a current basis under “Subpart F” of the Code which prevents deferral of recognition of U.S. taxable income through the use of foreign entities.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July 5, 2018, we entered into a fifth amended and restated credit agreement (“the Fifth A&amp;R Credit Agreement”), providing us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At March 30, 2019, we had letters of credit outstanding in the aggregate principal amount of $21.4 million, and $812.3 million of borrowing availability under the Fifth A&amp;R Credit Agreement. The weighted average interest rates on average borrowings under the Fifth A&amp;R Credit Agreement and the former credit agreement were 4.6% and 4.1% for the six months ended March 30, 2019 and March 31, 2018, respectively.</w:t>
      </w:r>
    </w:p>
    <w:p>
      <w:pPr>
        <w:spacing w:after="0" w:line="10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(i) 5.25 through the second quarter of fiscal 2019, (ii) 5.00 for the third quarter of fiscal 2019 through the first quarter of fiscal 2020, (iii) 4.75 for the second quarter of fiscal 2020 through the fourth quarter of fiscal 2020 and (iv) 4.50 for the first quarter of fiscal 2021 and thereafter. Our leverage ratio was 3.93 at March 30, 2019. The Fifth A&amp;R Credit Agreement also contains an affirmative covenant regarding our interest coverage ratio determined as of the end of each of the Company’s fiscal quarters. The interest coverage ratio is calculated as Adjusted EBITDA divided by interest expense, as described in the Fifth A&amp;R Credit Agreement, and excludes costs related to refinancings. The minimum interest coverage ratio was 3.00 for the twelve months ended March 30, 2019. Our interest coverage ratio was 5.67 for the twelve months ended March 30, 2019. 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Under the Master Repurchase Agreement (including the annexes thereto, the “Repurchase Agreement”) and a Master Framework Agreement (the “Framework Agreement” and, together with the Repurchase Agreement, the “Receivables Facility”), as amended, we may sell a portfolio of available and eligible outstanding customer accounts receivable to the purchasers and simultaneously agree to repurchase the receivables on a weekly basis. We account for the sale of receivables under the Receivables Facility as short-term debt and continue to carry the receivables on its Condensed Consolidated Balance Sheets, primarily as a result of our requirement to repurchase receivables sold. As of March 30, 2019 and March 31, 2018, there were $300.0 million in borrowings on receivables pledged as collateral under the Receivables Facility, and the carrying value of the receivables pledged as collateral was $333.3 million. As of March 30, 2019 and March 31, 2018, there was $100.0 million and $78.4 million, respectively, of availability under the Receivables Facility.</w:t>
      </w:r>
    </w:p>
    <w:p>
      <w:pPr>
        <w:spacing w:after="0" w:line="8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2019.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2018 and through March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2018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2018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materially from those disclosed in the 2018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March 30,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March 30, 2019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fiscal year ended September 30, 2018, as updated in our Quarterly Report on Form 10-Q for the quarter ended December 29, 2018. There have been no material changes to the pending legal proceedings set forth therein.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risk factors, as of March 30, 2019, have not changed materially from those described in “ITEM IA. RISK FACTORS”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2018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2018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 The Company’s leverage ratio was 3.93 at March 30, 2019.</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March 30,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Programs(3)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30, 2018 through January 26, 2019</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63.61</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January 27, through February 23, 2019</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70.22</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24, through March 30, 2019</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78.92</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6,242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76.95</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Common Shares purchased during the second fiscal quarter of 2019 were purchased in open market transactions. The total number of Common Shares purchased during this quarter includes 6,242 Common Shares purchased by the trustee of the rabbi trust established by the Company as permitted pursuant to the terms of The Scotts Company LLC Executive Retirement Plan (the “ERP”).</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an aggregate amount of $1.0 billion through September 30, 2019. The dollar amounts indicated reflect the remaining amounts that were available for repurchase under the authorized repurchase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61 for a list of the exhibits included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MARCH 30,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60" w:type="dxa"/>
            <w:vAlign w:val="bottom"/>
            <w:gridSpan w:val="9"/>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9"/>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Consulting Agreement, dated January 28, 2019, between The Scotts Company LLC and</w:t>
              </w:r>
            </w:hyperlink>
          </w:p>
        </w:tc>
        <w:tc>
          <w:tcPr>
            <w:tcW w:w="140" w:type="dxa"/>
            <w:vAlign w:val="bottom"/>
            <w:gridSpan w:val="2"/>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3"/>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Hanft Projects LLC</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3"/>
          </w:tcPr>
          <w:p>
            <w:pPr>
              <w:spacing w:after="0"/>
              <w:rPr>
                <w:rFonts w:ascii="Arial" w:cs="Arial" w:eastAsia="Arial" w:hAnsi="Arial"/>
                <w:sz w:val="18"/>
                <w:szCs w:val="18"/>
                <w:color w:val="0000FF"/>
                <w:w w:val="93"/>
              </w:rPr>
            </w:pPr>
            <w:hyperlink r:id="rId11">
              <w:r>
                <w:rPr>
                  <w:rFonts w:ascii="Arial" w:cs="Arial" w:eastAsia="Arial" w:hAnsi="Arial"/>
                  <w:sz w:val="18"/>
                  <w:szCs w:val="18"/>
                  <w:color w:val="0000FF"/>
                  <w:w w:val="93"/>
                </w:rPr>
                <w:t>Form of Amendment to Project Focus Amendment Award Agreement under The Scotts</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top w:val="single" w:sz="8" w:color="0000FF"/>
            </w:tcBorders>
            <w:gridSpan w:val="10"/>
          </w:tcPr>
          <w:p>
            <w:pPr>
              <w:spacing w:after="0" w:line="196" w:lineRule="exact"/>
              <w:rPr>
                <w:rFonts w:ascii="Arial" w:cs="Arial" w:eastAsia="Arial" w:hAnsi="Arial"/>
                <w:sz w:val="18"/>
                <w:szCs w:val="18"/>
                <w:color w:val="0000FF"/>
                <w:w w:val="94"/>
              </w:rPr>
            </w:pPr>
            <w:hyperlink r:id="rId11">
              <w:r>
                <w:rPr>
                  <w:rFonts w:ascii="Arial" w:cs="Arial" w:eastAsia="Arial" w:hAnsi="Arial"/>
                  <w:sz w:val="18"/>
                  <w:szCs w:val="18"/>
                  <w:color w:val="0000FF"/>
                  <w:w w:val="94"/>
                </w:rPr>
                <w:t>Miracle-Gro Company Long-Term Incentive Plan (Effective as of January 30, 2017)</w:t>
              </w:r>
            </w:hyperlink>
          </w:p>
        </w:tc>
        <w:tc>
          <w:tcPr>
            <w:tcW w:w="180" w:type="dxa"/>
            <w:vAlign w:val="bottom"/>
            <w:gridSpan w:val="3"/>
          </w:tcPr>
          <w:p>
            <w:pPr>
              <w:spacing w:after="0"/>
              <w:rPr>
                <w:sz w:val="17"/>
                <w:szCs w:val="17"/>
                <w:color w:val="auto"/>
              </w:rPr>
            </w:pPr>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2"/>
              </w:rPr>
              <w:t>Registrant’s Current Report on Form 8-K filed</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160" w:type="dxa"/>
            <w:vAlign w:val="bottom"/>
            <w:tcBorders>
              <w:top w:val="single" w:sz="8" w:color="0000FF"/>
            </w:tcBorders>
          </w:tcPr>
          <w:p>
            <w:pPr>
              <w:spacing w:after="0"/>
              <w:rPr>
                <w:sz w:val="20"/>
                <w:szCs w:val="20"/>
                <w:color w:val="auto"/>
              </w:rPr>
            </w:pPr>
          </w:p>
        </w:tc>
        <w:tc>
          <w:tcPr>
            <w:tcW w:w="13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January 30, 2019 [Exhibit 10.1]</w:t>
            </w:r>
          </w:p>
        </w:tc>
        <w:tc>
          <w:tcPr>
            <w:tcW w:w="0" w:type="dxa"/>
            <w:vAlign w:val="bottom"/>
          </w:tcPr>
          <w:p>
            <w:pPr>
              <w:spacing w:after="0"/>
              <w:rPr>
                <w:sz w:val="1"/>
                <w:szCs w:val="1"/>
                <w:color w:val="auto"/>
              </w:rPr>
            </w:pPr>
          </w:p>
        </w:tc>
      </w:tr>
      <w:tr>
        <w:trPr>
          <w:trHeight w:val="351"/>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8"/>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Purchase Agreement, dated March 19, 2019, among TruGreen Companies L.L.C.,</w:t>
              </w:r>
            </w:hyperlink>
          </w:p>
        </w:tc>
        <w:tc>
          <w:tcPr>
            <w:tcW w:w="560" w:type="dxa"/>
            <w:vAlign w:val="bottom"/>
            <w:gridSpan w:val="5"/>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TruGreen, Inc., TruGreen LLC, SLS Holdings, Inc. and Outdoor Home Services</w:t>
              </w:r>
            </w:hyperlink>
          </w:p>
        </w:tc>
        <w:tc>
          <w:tcPr>
            <w:tcW w:w="680" w:type="dxa"/>
            <w:vAlign w:val="bottom"/>
            <w:gridSpan w:val="6"/>
          </w:tcPr>
          <w:p>
            <w:pPr>
              <w:spacing w:after="0"/>
              <w:rPr>
                <w:sz w:val="17"/>
                <w:szCs w:val="17"/>
                <w:color w:val="auto"/>
              </w:rPr>
            </w:pPr>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2"/>
              </w:rPr>
              <w:t>Registrant’s Current Report on Form 8-K filed</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r:id="rId12">
              <w:r>
                <w:rPr>
                  <w:rFonts w:ascii="Arial" w:cs="Arial" w:eastAsia="Arial" w:hAnsi="Arial"/>
                  <w:sz w:val="18"/>
                  <w:szCs w:val="18"/>
                  <w:color w:val="0000FF"/>
                  <w:w w:val="96"/>
                </w:rPr>
                <w:t>Holdings LLC</w:t>
              </w:r>
            </w:hyperlink>
          </w:p>
        </w:tc>
        <w:tc>
          <w:tcPr>
            <w:tcW w:w="5420" w:type="dxa"/>
            <w:vAlign w:val="bottom"/>
            <w:gridSpan w:val="11"/>
          </w:tcPr>
          <w:p>
            <w:pPr>
              <w:spacing w:after="0"/>
              <w:rPr>
                <w:sz w:val="17"/>
                <w:szCs w:val="17"/>
                <w:color w:val="auto"/>
              </w:rPr>
            </w:pPr>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3"/>
              </w:rPr>
              <w:t>March 20, 2019 [Exhibit 10.1]</w:t>
            </w: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3"/>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Subsidiaries of The Scotts Miracle-Gro Company</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Rule 13a-14(a)/15d-14(a) Certifications (Principal Executive Officer)</w:t>
              </w:r>
            </w:hyperlink>
          </w:p>
        </w:tc>
        <w:tc>
          <w:tcPr>
            <w:tcW w:w="1460" w:type="dxa"/>
            <w:vAlign w:val="bottom"/>
            <w:gridSpan w:val="7"/>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Rule 13a-14(a)/15d-14(a) Certifications (Principal Financial Officer)</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3"/>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Section 1350 Certifications (Principal Executive Officer and Principal Financial</w:t>
              </w:r>
            </w:hyperlink>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340" w:type="dxa"/>
            <w:vAlign w:val="bottom"/>
            <w:tcBorders>
              <w:top w:val="single" w:sz="8" w:color="0000FF"/>
            </w:tcBorders>
            <w:gridSpan w:val="11"/>
            <w:vMerge w:val="restart"/>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Officer)</w:t>
              </w:r>
            </w:hyperlink>
          </w:p>
        </w:tc>
        <w:tc>
          <w:tcPr>
            <w:tcW w:w="140" w:type="dxa"/>
            <w:vAlign w:val="bottom"/>
            <w:gridSpan w:val="2"/>
            <w:vMerge w:val="restart"/>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340" w:type="dxa"/>
            <w:vAlign w:val="bottom"/>
            <w:gridSpan w:val="11"/>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101.INS</w:t>
            </w:r>
          </w:p>
        </w:tc>
        <w:tc>
          <w:tcPr>
            <w:tcW w:w="20" w:type="dxa"/>
            <w:vAlign w:val="bottom"/>
          </w:tcPr>
          <w:p>
            <w:pPr>
              <w:spacing w:after="0"/>
              <w:rPr>
                <w:sz w:val="24"/>
                <w:szCs w:val="24"/>
                <w:color w:val="auto"/>
              </w:rPr>
            </w:pPr>
          </w:p>
        </w:tc>
        <w:tc>
          <w:tcPr>
            <w:tcW w:w="64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648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64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64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64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24"/>
                <w:szCs w:val="24"/>
                <w:color w:val="auto"/>
              </w:rPr>
            </w:pPr>
          </w:p>
        </w:tc>
        <w:tc>
          <w:tcPr>
            <w:tcW w:w="64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January 28,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Mr. Adam Hanft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Hanft Projects LLC</w:t>
      </w:r>
    </w:p>
    <w:p>
      <w:pPr>
        <w:spacing w:after="0"/>
        <w:rPr>
          <w:sz w:val="20"/>
          <w:szCs w:val="20"/>
          <w:color w:val="auto"/>
        </w:rPr>
      </w:pPr>
      <w:r>
        <w:rPr>
          <w:rFonts w:ascii="Arial" w:cs="Arial" w:eastAsia="Arial" w:hAnsi="Arial"/>
          <w:sz w:val="20"/>
          <w:szCs w:val="20"/>
          <w:color w:val="auto"/>
        </w:rPr>
        <w:t>55 Fifth Avenue, Penthouse</w:t>
      </w:r>
    </w:p>
    <w:p>
      <w:pPr>
        <w:spacing w:after="0"/>
        <w:rPr>
          <w:sz w:val="20"/>
          <w:szCs w:val="20"/>
          <w:color w:val="auto"/>
        </w:rPr>
      </w:pPr>
      <w:r>
        <w:rPr>
          <w:rFonts w:ascii="Arial" w:cs="Arial" w:eastAsia="Arial" w:hAnsi="Arial"/>
          <w:sz w:val="20"/>
          <w:szCs w:val="20"/>
          <w:color w:val="auto"/>
        </w:rPr>
        <w:t>New York, NY 10003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Adam:</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letter sets forth our agreement (the “Agreement”) regarding a consulting engagement between Hanft Projects LLC and The Scotts Company LLC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Miracle-Gro Company’s Board of Directors (the “Board”) or any Board Committees or other Committees on which Mr. Hanft may serve.</w:t>
      </w:r>
    </w:p>
    <w:p>
      <w:pPr>
        <w:spacing w:after="0" w:line="18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Scope of Services</w:t>
      </w:r>
    </w:p>
    <w:p>
      <w:pPr>
        <w:spacing w:after="0" w:line="23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Subject to the approval of the Board, Contractor agrees to provide the consulting services to Scotts described below:</w:t>
      </w:r>
    </w:p>
    <w:p>
      <w:pPr>
        <w:spacing w:after="0" w:line="229" w:lineRule="exact"/>
        <w:rPr>
          <w:rFonts w:ascii="Arial" w:cs="Arial" w:eastAsia="Arial" w:hAnsi="Arial"/>
          <w:sz w:val="20"/>
          <w:szCs w:val="20"/>
          <w:b w:val="1"/>
          <w:bCs w:val="1"/>
          <w:color w:val="auto"/>
        </w:rPr>
      </w:pPr>
    </w:p>
    <w:p>
      <w:pPr>
        <w:ind w:left="980" w:right="20" w:hanging="324"/>
        <w:spacing w:after="0" w:line="26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Develop creative assets for a variety of existing Scotts brands, including broadcast and social, and participate with the internal team on the execution and production of these assets;</w:t>
      </w:r>
    </w:p>
    <w:p>
      <w:pPr>
        <w:spacing w:after="0" w:line="190" w:lineRule="exact"/>
        <w:rPr>
          <w:rFonts w:ascii="Arial" w:cs="Arial" w:eastAsia="Arial" w:hAnsi="Arial"/>
          <w:sz w:val="20"/>
          <w:szCs w:val="20"/>
          <w:color w:val="auto"/>
        </w:rPr>
      </w:pPr>
    </w:p>
    <w:p>
      <w:pPr>
        <w:ind w:left="980" w:right="20" w:hanging="324"/>
        <w:spacing w:after="0" w:line="26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Support, guide and supplement the management of external agency and creative resources as they create, develop and produce work for Scotts;</w:t>
      </w:r>
    </w:p>
    <w:p>
      <w:pPr>
        <w:spacing w:after="0" w:line="190"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Support the internal consumer team - our "studio" and the SBUs - on the development of portfolio strategies, brand and product strategy for existing and new products, the content of creative briefs, and related activities;</w:t>
      </w:r>
    </w:p>
    <w:p>
      <w:pPr>
        <w:spacing w:after="0" w:line="190" w:lineRule="exact"/>
        <w:rPr>
          <w:rFonts w:ascii="Arial" w:cs="Arial" w:eastAsia="Arial" w:hAnsi="Arial"/>
          <w:sz w:val="20"/>
          <w:szCs w:val="20"/>
          <w:color w:val="auto"/>
        </w:rPr>
      </w:pPr>
    </w:p>
    <w:p>
      <w:pPr>
        <w:ind w:left="980" w:hanging="324"/>
        <w:spacing w:after="0"/>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Work with internal teams on the development and execution of web and content strategies;</w:t>
      </w:r>
    </w:p>
    <w:p>
      <w:pPr>
        <w:spacing w:after="0" w:line="229"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Work with the internal research and insight teams to drive innovation and the exploration of new modalities to better understand consumer behaviors, wants and needs;</w:t>
      </w:r>
    </w:p>
    <w:p>
      <w:pPr>
        <w:spacing w:after="0" w:line="190"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Support Scotts’ internal DTC team in its transformative and catalytic roles across all areas of activity, including branding, positioning, new product development, targeting customer acquisition and CRM;</w:t>
      </w:r>
    </w:p>
    <w:p>
      <w:pPr>
        <w:spacing w:after="0" w:line="190" w:lineRule="exact"/>
        <w:rPr>
          <w:rFonts w:ascii="Arial" w:cs="Arial" w:eastAsia="Arial" w:hAnsi="Arial"/>
          <w:sz w:val="20"/>
          <w:szCs w:val="20"/>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Work with corporate strategy on overall company direction, identify relevant trends and their application to the Company's goals;</w:t>
      </w:r>
    </w:p>
    <w:p>
      <w:pPr>
        <w:spacing w:after="0" w:line="252" w:lineRule="exact"/>
        <w:rPr>
          <w:rFonts w:ascii="Arial" w:cs="Arial" w:eastAsia="Arial" w:hAnsi="Arial"/>
          <w:sz w:val="18"/>
          <w:szCs w:val="18"/>
          <w:color w:val="auto"/>
        </w:rPr>
      </w:pPr>
    </w:p>
    <w:p>
      <w:pPr>
        <w:ind w:left="980" w:hanging="324"/>
        <w:spacing w:after="0" w:line="26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As appropriate, introduce business opportunities to the company with regard to strategic partnerships, joint ventures, mergers and acquisitions;</w:t>
      </w:r>
    </w:p>
    <w:p>
      <w:pPr>
        <w:sectPr>
          <w:pgSz w:w="11900" w:h="16838" w:orient="portrait"/>
          <w:cols w:equalWidth="0" w:num="1">
            <w:col w:w="11420"/>
          </w:cols>
          <w:pgMar w:left="240" w:top="553" w:right="239" w:bottom="1440" w:gutter="0" w:footer="0" w:header="0"/>
        </w:sectPr>
      </w:pPr>
    </w:p>
    <w:bookmarkStart w:id="63" w:name="page64"/>
    <w:bookmarkEnd w:id="63"/>
    <w:p>
      <w:pPr>
        <w:ind w:left="980" w:hanging="324"/>
        <w:spacing w:after="0" w:line="260" w:lineRule="auto"/>
        <w:tabs>
          <w:tab w:leader="none" w:pos="9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Provide coaching and thought leadership to key company executives as they seek to drive cultural change and nurture a more responsive and agile internal environment; and</w:t>
      </w:r>
    </w:p>
    <w:p>
      <w:pPr>
        <w:spacing w:after="0" w:line="190" w:lineRule="exact"/>
        <w:rPr>
          <w:rFonts w:ascii="Arial" w:cs="Arial" w:eastAsia="Arial" w:hAnsi="Arial"/>
          <w:sz w:val="20"/>
          <w:szCs w:val="20"/>
          <w:color w:val="auto"/>
        </w:rPr>
      </w:pPr>
    </w:p>
    <w:p>
      <w:pPr>
        <w:ind w:left="980" w:hanging="324"/>
        <w:spacing w:after="0"/>
        <w:tabs>
          <w:tab w:leader="none" w:pos="9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Work with Hawthorne, as required, across all areas of strategy, branding and messaging to our key target audiences.</w:t>
      </w:r>
    </w:p>
    <w:p>
      <w:pPr>
        <w:spacing w:after="0" w:line="229" w:lineRule="exact"/>
        <w:rPr>
          <w:rFonts w:ascii="Arial" w:cs="Arial" w:eastAsia="Arial" w:hAnsi="Arial"/>
          <w:sz w:val="20"/>
          <w:szCs w:val="20"/>
          <w:color w:val="auto"/>
        </w:rPr>
      </w:pPr>
    </w:p>
    <w:p>
      <w:pPr>
        <w:jc w:val="both"/>
        <w:ind w:left="980"/>
        <w:spacing w:after="0" w:line="259" w:lineRule="auto"/>
        <w:rPr>
          <w:rFonts w:ascii="Arial" w:cs="Arial" w:eastAsia="Arial" w:hAnsi="Arial"/>
          <w:sz w:val="20"/>
          <w:szCs w:val="20"/>
          <w:color w:val="auto"/>
        </w:rPr>
      </w:pPr>
      <w:r>
        <w:rPr>
          <w:rFonts w:ascii="Arial" w:cs="Arial" w:eastAsia="Arial" w:hAnsi="Arial"/>
          <w:sz w:val="19"/>
          <w:szCs w:val="19"/>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124" w:lineRule="exact"/>
        <w:rPr>
          <w:rFonts w:ascii="Arial" w:cs="Arial" w:eastAsia="Arial" w:hAnsi="Arial"/>
          <w:sz w:val="20"/>
          <w:szCs w:val="20"/>
          <w:color w:val="auto"/>
        </w:rPr>
      </w:pPr>
    </w:p>
    <w:p>
      <w:pPr>
        <w:jc w:val="both"/>
        <w:ind w:left="980"/>
        <w:spacing w:after="0" w:line="258" w:lineRule="auto"/>
        <w:rPr>
          <w:rFonts w:ascii="Arial" w:cs="Arial" w:eastAsia="Arial" w:hAnsi="Arial"/>
          <w:sz w:val="20"/>
          <w:szCs w:val="20"/>
          <w:color w:val="auto"/>
        </w:rPr>
      </w:pPr>
      <w:r>
        <w:rPr>
          <w:rFonts w:ascii="Arial" w:cs="Arial" w:eastAsia="Arial" w:hAnsi="Arial"/>
          <w:sz w:val="19"/>
          <w:szCs w:val="19"/>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including in paragraph 1(b),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119" w:lineRule="exact"/>
        <w:rPr>
          <w:rFonts w:ascii="Arial" w:cs="Arial" w:eastAsia="Arial" w:hAnsi="Arial"/>
          <w:sz w:val="20"/>
          <w:szCs w:val="20"/>
          <w:color w:val="auto"/>
        </w:rPr>
      </w:pPr>
    </w:p>
    <w:p>
      <w:pPr>
        <w:ind w:left="660" w:hanging="652"/>
        <w:spacing w:after="0"/>
        <w:tabs>
          <w:tab w:leader="none" w:pos="6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Length of Agreement</w:t>
      </w:r>
    </w:p>
    <w:p>
      <w:pPr>
        <w:spacing w:after="0" w:line="168"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The term of this Agreement will commence on February 1, 2019 and will end on January 31, 2020, unless terminated earlier under Section V.1. The term of this Agreement may be extended only by written agreement, signed by both parties and setting forth expressly the terms related to the consulting fee.</w:t>
      </w:r>
    </w:p>
    <w:p>
      <w:pPr>
        <w:spacing w:after="0" w:line="12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Authority</w:t>
      </w:r>
    </w:p>
    <w:p>
      <w:pPr>
        <w:spacing w:after="0" w:line="168"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Consulting Fees and Expenses</w:t>
      </w:r>
    </w:p>
    <w:p>
      <w:pPr>
        <w:spacing w:after="0" w:line="168" w:lineRule="exact"/>
        <w:rPr>
          <w:sz w:val="20"/>
          <w:szCs w:val="20"/>
          <w:color w:val="auto"/>
        </w:rPr>
      </w:pPr>
    </w:p>
    <w:p>
      <w:pPr>
        <w:ind w:left="980" w:right="520" w:hanging="324"/>
        <w:spacing w:after="0" w:line="260"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190" w:lineRule="exact"/>
        <w:rPr>
          <w:rFonts w:ascii="Arial" w:cs="Arial" w:eastAsia="Arial" w:hAnsi="Arial"/>
          <w:sz w:val="20"/>
          <w:szCs w:val="20"/>
          <w:color w:val="auto"/>
        </w:rPr>
      </w:pPr>
    </w:p>
    <w:p>
      <w:pPr>
        <w:jc w:val="both"/>
        <w:ind w:left="1620" w:hanging="315"/>
        <w:spacing w:after="0" w:line="246" w:lineRule="auto"/>
        <w:tabs>
          <w:tab w:leader="none" w:pos="16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pacing w:after="0" w:line="205" w:lineRule="exact"/>
        <w:rPr>
          <w:rFonts w:ascii="Arial" w:cs="Arial" w:eastAsia="Arial" w:hAnsi="Arial"/>
          <w:sz w:val="20"/>
          <w:szCs w:val="20"/>
          <w:color w:val="auto"/>
        </w:rPr>
      </w:pPr>
    </w:p>
    <w:p>
      <w:pPr>
        <w:ind w:left="1620" w:hanging="315"/>
        <w:spacing w:after="0" w:line="260" w:lineRule="auto"/>
        <w:tabs>
          <w:tab w:leader="none" w:pos="16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one-time grant of restricted stock units (“RSUs”) with a grant date value of $400,000. The RSUs’ shall be issued in the name of Adam Hanft individually. The number of</w:t>
      </w:r>
    </w:p>
    <w:p>
      <w:pPr>
        <w:sectPr>
          <w:pgSz w:w="11900" w:h="16838" w:orient="portrait"/>
          <w:cols w:equalWidth="0" w:num="1">
            <w:col w:w="11420"/>
          </w:cols>
          <w:pgMar w:left="240" w:top="1230" w:right="239" w:bottom="1440" w:gutter="0" w:footer="0" w:header="0"/>
        </w:sectPr>
      </w:pPr>
    </w:p>
    <w:bookmarkStart w:id="64" w:name="page65"/>
    <w:bookmarkEnd w:id="64"/>
    <w:p>
      <w:pPr>
        <w:jc w:val="both"/>
        <w:ind w:left="1612"/>
        <w:spacing w:after="0" w:line="287" w:lineRule="auto"/>
        <w:rPr>
          <w:sz w:val="20"/>
          <w:szCs w:val="20"/>
          <w:color w:val="auto"/>
        </w:rPr>
      </w:pPr>
      <w:r>
        <w:rPr>
          <w:rFonts w:ascii="Arial" w:cs="Arial" w:eastAsia="Arial" w:hAnsi="Arial"/>
          <w:sz w:val="19"/>
          <w:szCs w:val="19"/>
          <w:color w:val="auto"/>
        </w:rPr>
        <w:t>RSUs will be determined by dividing the intended grant date value by the closing price of a share on the grant date, rounded up to the next whole share. Each dividend equivalent represents the right to receive additional RSUs in respect of the dividends that are declared and paid during the period beginning on the Grant Date and ending on the applicable Settlement Date. The RSUs and any related dividend equivalents will vest on January 31, 2020, provided that this Agreement has not otherwise been terminated or notified for termination on that date for any reason listed in Section V.1 of this Agreement. Should Scotts terminate this Agreement pursuant to Section V.1(a), this grant shall be considered to be liquidated damages to Contractor and vest and settle in accordance with Section V.2.</w:t>
      </w:r>
    </w:p>
    <w:p>
      <w:pPr>
        <w:spacing w:after="0" w:line="183" w:lineRule="exact"/>
        <w:rPr>
          <w:sz w:val="20"/>
          <w:szCs w:val="20"/>
          <w:color w:val="auto"/>
        </w:rPr>
      </w:pPr>
    </w:p>
    <w:p>
      <w:pPr>
        <w:jc w:val="both"/>
        <w:ind w:left="2272" w:hanging="327"/>
        <w:spacing w:after="0" w:line="260" w:lineRule="auto"/>
        <w:tabs>
          <w:tab w:leader="none" w:pos="2272" w:val="left"/>
        </w:tabs>
        <w:numPr>
          <w:ilvl w:val="2"/>
          <w:numId w:val="23"/>
        </w:numPr>
        <w:rPr>
          <w:rFonts w:ascii="Arial" w:cs="Arial" w:eastAsia="Arial" w:hAnsi="Arial"/>
          <w:sz w:val="19"/>
          <w:szCs w:val="19"/>
          <w:color w:val="auto"/>
        </w:rPr>
      </w:pPr>
      <w:r>
        <w:rPr>
          <w:rFonts w:ascii="Arial" w:cs="Arial" w:eastAsia="Arial" w:hAnsi="Arial"/>
          <w:sz w:val="19"/>
          <w:szCs w:val="19"/>
          <w:color w:val="auto"/>
        </w:rPr>
        <w:t>With the exception of the vesting provisions described above and in Section V.2, the award of RSUs and related dividend equivalents shall be subject to the terms of The Scotts Miracle-Gro Company Long Term Incentive Plan, effective as of January 27, 2017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126" w:lineRule="exact"/>
        <w:rPr>
          <w:rFonts w:ascii="Arial" w:cs="Arial" w:eastAsia="Arial" w:hAnsi="Arial"/>
          <w:sz w:val="19"/>
          <w:szCs w:val="19"/>
          <w:color w:val="auto"/>
        </w:rPr>
      </w:pPr>
    </w:p>
    <w:p>
      <w:pPr>
        <w:jc w:val="both"/>
        <w:ind w:left="972" w:hanging="324"/>
        <w:spacing w:after="0" w:line="274" w:lineRule="auto"/>
        <w:tabs>
          <w:tab w:leader="none" w:pos="9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15" w:lineRule="exact"/>
        <w:rPr>
          <w:rFonts w:ascii="Arial" w:cs="Arial" w:eastAsia="Arial" w:hAnsi="Arial"/>
          <w:sz w:val="18"/>
          <w:szCs w:val="18"/>
          <w:color w:val="auto"/>
        </w:rPr>
      </w:pPr>
    </w:p>
    <w:p>
      <w:pPr>
        <w:jc w:val="both"/>
        <w:ind w:left="972" w:hanging="324"/>
        <w:spacing w:after="0" w:line="250" w:lineRule="auto"/>
        <w:tabs>
          <w:tab w:leader="none" w:pos="972" w:val="left"/>
        </w:tabs>
        <w:numPr>
          <w:ilvl w:val="1"/>
          <w:numId w:val="24"/>
        </w:numPr>
        <w:rPr>
          <w:rFonts w:ascii="Arial" w:cs="Arial" w:eastAsia="Arial" w:hAnsi="Arial"/>
          <w:sz w:val="20"/>
          <w:szCs w:val="20"/>
          <w:color w:val="auto"/>
        </w:rPr>
      </w:pPr>
      <w:r>
        <w:rPr>
          <w:rFonts w:ascii="Arial" w:cs="Arial" w:eastAsia="Arial" w:hAnsi="Arial"/>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126" w:lineRule="exact"/>
        <w:rPr>
          <w:rFonts w:ascii="Arial" w:cs="Arial" w:eastAsia="Arial" w:hAnsi="Arial"/>
          <w:sz w:val="20"/>
          <w:szCs w:val="20"/>
          <w:color w:val="auto"/>
        </w:rPr>
      </w:pPr>
    </w:p>
    <w:p>
      <w:pPr>
        <w:ind w:left="652" w:hanging="652"/>
        <w:spacing w:after="0"/>
        <w:tabs>
          <w:tab w:leader="none" w:pos="65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67" w:lineRule="exact"/>
        <w:rPr>
          <w:rFonts w:ascii="Arial" w:cs="Arial" w:eastAsia="Arial" w:hAnsi="Arial"/>
          <w:sz w:val="20"/>
          <w:szCs w:val="20"/>
          <w:b w:val="1"/>
          <w:bCs w:val="1"/>
          <w:color w:val="auto"/>
        </w:rPr>
      </w:pPr>
    </w:p>
    <w:p>
      <w:pPr>
        <w:jc w:val="both"/>
        <w:ind w:left="972" w:hanging="324"/>
        <w:spacing w:after="0" w:line="258" w:lineRule="auto"/>
        <w:tabs>
          <w:tab w:leader="none" w:pos="972" w:val="left"/>
        </w:tabs>
        <w:numPr>
          <w:ilvl w:val="1"/>
          <w:numId w:val="25"/>
        </w:numPr>
        <w:rPr>
          <w:rFonts w:ascii="Arial" w:cs="Arial" w:eastAsia="Arial" w:hAnsi="Arial"/>
          <w:sz w:val="19"/>
          <w:szCs w:val="19"/>
          <w:color w:val="auto"/>
        </w:rPr>
      </w:pPr>
      <w:r>
        <w:rPr>
          <w:rFonts w:ascii="Arial" w:cs="Arial" w:eastAsia="Arial" w:hAnsi="Arial"/>
          <w:sz w:val="19"/>
          <w:szCs w:val="19"/>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pacing w:after="0" w:line="125" w:lineRule="exact"/>
        <w:rPr>
          <w:rFonts w:ascii="Arial" w:cs="Arial" w:eastAsia="Arial" w:hAnsi="Arial"/>
          <w:sz w:val="19"/>
          <w:szCs w:val="19"/>
          <w:color w:val="auto"/>
        </w:rPr>
      </w:pPr>
    </w:p>
    <w:p>
      <w:pPr>
        <w:jc w:val="both"/>
        <w:ind w:left="972" w:hanging="324"/>
        <w:spacing w:after="0" w:line="250" w:lineRule="auto"/>
        <w:tabs>
          <w:tab w:leader="none" w:pos="972" w:val="left"/>
        </w:tabs>
        <w:numPr>
          <w:ilvl w:val="1"/>
          <w:numId w:val="25"/>
        </w:numPr>
        <w:rPr>
          <w:rFonts w:ascii="Arial" w:cs="Arial" w:eastAsia="Arial" w:hAnsi="Arial"/>
          <w:sz w:val="20"/>
          <w:szCs w:val="20"/>
          <w:color w:val="auto"/>
        </w:rPr>
      </w:pPr>
      <w:r>
        <w:rPr>
          <w:rFonts w:ascii="Arial" w:cs="Arial" w:eastAsia="Arial" w:hAnsi="Arial"/>
          <w:sz w:val="20"/>
          <w:szCs w:val="20"/>
          <w:color w:val="auto"/>
        </w:rPr>
        <w:t>In the event that Scotts terminates this Agreement for any reason other than those listed in Section V.1(b)-(f), Scotts will pay Contractor the total value of this Agreement less any amounts already paid pursuant to this Agreement, as well as any expenses Contractor has incurred pursuant to</w:t>
      </w:r>
    </w:p>
    <w:p>
      <w:pPr>
        <w:sectPr>
          <w:pgSz w:w="11900" w:h="16838" w:orient="portrait"/>
          <w:cols w:equalWidth="0" w:num="1">
            <w:col w:w="11412"/>
          </w:cols>
          <w:pgMar w:left="248" w:top="1244" w:right="239" w:bottom="1440" w:gutter="0" w:footer="0" w:header="0"/>
        </w:sectPr>
      </w:pPr>
    </w:p>
    <w:bookmarkStart w:id="65" w:name="page66"/>
    <w:bookmarkEnd w:id="65"/>
    <w:p>
      <w:pPr>
        <w:jc w:val="both"/>
        <w:ind w:left="980"/>
        <w:spacing w:after="0" w:line="278" w:lineRule="auto"/>
        <w:rPr>
          <w:sz w:val="20"/>
          <w:szCs w:val="20"/>
          <w:color w:val="auto"/>
        </w:rPr>
      </w:pPr>
      <w:r>
        <w:rPr>
          <w:rFonts w:ascii="Arial" w:cs="Arial" w:eastAsia="Arial" w:hAnsi="Arial"/>
          <w:sz w:val="20"/>
          <w:szCs w:val="20"/>
          <w:color w:val="auto"/>
        </w:rPr>
        <w:t>the terms of this Agreement prior to the date of such termination, as liquidated damages to Consultant. In such an event, the one-time RSU grant and related dividend equivalents, if any, will vest upon termination; however, the RSUs will not settle until January 31, 2020.</w:t>
      </w:r>
    </w:p>
    <w:p>
      <w:pPr>
        <w:spacing w:after="0" w:line="187" w:lineRule="exact"/>
        <w:rPr>
          <w:sz w:val="20"/>
          <w:szCs w:val="20"/>
          <w:color w:val="auto"/>
        </w:rPr>
      </w:pPr>
    </w:p>
    <w:p>
      <w:pPr>
        <w:jc w:val="both"/>
        <w:ind w:left="980" w:hanging="324"/>
        <w:spacing w:after="0" w:line="244"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the event that Contractor terminates this Agreement and its consulting relationship with Scotts or Scotts terminates this Agreement and its consulting relationship with Contractor for any reason listed in Section V.1 of this Agreement, such termination shall not affect Scotts’ obligation to pay Contractor for the amounts Contractor has earned prior to the date of such termination or reimburse Contractor for the expenses Contractor has incurred pursuant to the terms of this Agreement prior to the date of such termination.</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8"/>
          <w:szCs w:val="18"/>
          <w:b w:val="1"/>
          <w:bCs w:val="1"/>
          <w:color w:val="auto"/>
        </w:rPr>
        <w:t>Confidential Information and Insider Trading</w:t>
      </w:r>
    </w:p>
    <w:p>
      <w:pPr>
        <w:spacing w:after="0" w:line="168" w:lineRule="exact"/>
        <w:rPr>
          <w:sz w:val="20"/>
          <w:szCs w:val="20"/>
          <w:color w:val="auto"/>
        </w:rPr>
      </w:pPr>
    </w:p>
    <w:p>
      <w:pPr>
        <w:jc w:val="both"/>
        <w:ind w:left="980" w:hanging="418"/>
        <w:spacing w:after="0" w:line="258" w:lineRule="auto"/>
        <w:tabs>
          <w:tab w:leader="none" w:pos="9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125"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132" w:lineRule="exact"/>
        <w:rPr>
          <w:rFonts w:ascii="Arial" w:cs="Arial" w:eastAsia="Arial" w:hAnsi="Arial"/>
          <w:sz w:val="20"/>
          <w:szCs w:val="20"/>
          <w:color w:val="auto"/>
        </w:rPr>
      </w:pPr>
    </w:p>
    <w:p>
      <w:pPr>
        <w:jc w:val="both"/>
        <w:ind w:left="980" w:hanging="324"/>
        <w:spacing w:after="0" w:line="258" w:lineRule="auto"/>
        <w:tabs>
          <w:tab w:leader="none" w:pos="980" w:val="left"/>
        </w:tabs>
        <w:numPr>
          <w:ilvl w:val="1"/>
          <w:numId w:val="27"/>
        </w:numPr>
        <w:rPr>
          <w:rFonts w:ascii="Arial" w:cs="Arial" w:eastAsia="Arial" w:hAnsi="Arial"/>
          <w:sz w:val="19"/>
          <w:szCs w:val="19"/>
          <w:color w:val="auto"/>
        </w:rPr>
      </w:pPr>
      <w:r>
        <w:rPr>
          <w:rFonts w:ascii="Arial" w:cs="Arial" w:eastAsia="Arial" w:hAnsi="Arial"/>
          <w:sz w:val="19"/>
          <w:szCs w:val="19"/>
          <w:color w:val="auto"/>
        </w:rPr>
        <w:t>In an effort to avoid the appearance of impropriety, Contractor agrees to follow all laws and regulations concerning insider trading, as well as Scotts Insider Trading policy (attached), during the term of this Agreement. Further, Contractor agrees that Contractor will not engage in any transaction of Scotts securities during the term of this Agreement except while the Scotts trading window is open, and even then only if Contractor is not in possession of material, non-public information. Following the termination of this Agreement, Contractor agrees that Contractor remains subject to the Scotts Insider Trading policy until the next scheduled open trading window period and will not engage in any transaction of Scotts securities until then, and then only if Contractor is not in possession of material, non-public information.</w:t>
      </w:r>
    </w:p>
    <w:p>
      <w:pPr>
        <w:spacing w:after="0" w:line="125" w:lineRule="exact"/>
        <w:rPr>
          <w:rFonts w:ascii="Arial" w:cs="Arial" w:eastAsia="Arial" w:hAnsi="Arial"/>
          <w:sz w:val="19"/>
          <w:szCs w:val="19"/>
          <w:color w:val="auto"/>
        </w:rPr>
      </w:pPr>
    </w:p>
    <w:p>
      <w:pPr>
        <w:ind w:left="980" w:right="20" w:hanging="324"/>
        <w:spacing w:after="0" w:line="260" w:lineRule="auto"/>
        <w:tabs>
          <w:tab w:leader="none" w:pos="9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Contractor agrees to promptly return to Scotts, upon Scotts’ request, all electronic or tangible documents that contain any Confidential Information and to retain no copies.</w:t>
      </w:r>
    </w:p>
    <w:p>
      <w:pPr>
        <w:spacing w:after="0" w:line="122"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These confidentiality obligations are in addition to, and not in place of, any and all confidentiality obligations arising as a result of Mr. Hanft’s membership on the Board and applicable Board Committees.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VII.Other</w:t>
      </w:r>
    </w:p>
    <w:p>
      <w:pPr>
        <w:spacing w:after="0" w:line="168" w:lineRule="exact"/>
        <w:rPr>
          <w:sz w:val="20"/>
          <w:szCs w:val="20"/>
          <w:color w:val="auto"/>
        </w:rPr>
      </w:pPr>
    </w:p>
    <w:p>
      <w:pPr>
        <w:ind w:left="980" w:hanging="324"/>
        <w:spacing w:after="0" w:line="31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ectPr>
          <w:pgSz w:w="11900" w:h="16838" w:orient="portrait"/>
          <w:cols w:equalWidth="0" w:num="1">
            <w:col w:w="11420"/>
          </w:cols>
          <w:pgMar w:left="240" w:top="1244" w:right="239" w:bottom="1440" w:gutter="0" w:footer="0" w:header="0"/>
        </w:sectPr>
      </w:pPr>
    </w:p>
    <w:bookmarkStart w:id="66" w:name="page67"/>
    <w:bookmarkEnd w:id="66"/>
    <w:p>
      <w:pPr>
        <w:ind w:left="940" w:hanging="324"/>
        <w:spacing w:after="0"/>
        <w:tabs>
          <w:tab w:leader="none" w:pos="9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Contractor is not permitted to assign, sell or otherwise transfer any of its rights or obligations hereunder.</w:t>
      </w:r>
    </w:p>
    <w:p>
      <w:pPr>
        <w:spacing w:after="0" w:line="161" w:lineRule="exact"/>
        <w:rPr>
          <w:rFonts w:ascii="Arial" w:cs="Arial" w:eastAsia="Arial" w:hAnsi="Arial"/>
          <w:sz w:val="20"/>
          <w:szCs w:val="20"/>
          <w:color w:val="auto"/>
        </w:rPr>
      </w:pPr>
    </w:p>
    <w:p>
      <w:pPr>
        <w:ind w:left="940" w:right="60" w:hanging="324"/>
        <w:spacing w:after="0" w:line="247" w:lineRule="auto"/>
        <w:tabs>
          <w:tab w:leader="none" w:pos="9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Contractor acknowledges that neither Scotts nor any representatives of Scotts have made any representations or promises about the tax implications of this Agreement. Nothing in this</w:t>
      </w:r>
    </w:p>
    <w:p>
      <w:pPr>
        <w:spacing w:after="0" w:line="1" w:lineRule="exact"/>
        <w:rPr>
          <w:rFonts w:ascii="Arial" w:cs="Arial" w:eastAsia="Arial" w:hAnsi="Arial"/>
          <w:sz w:val="20"/>
          <w:szCs w:val="20"/>
          <w:color w:val="auto"/>
        </w:rPr>
      </w:pPr>
    </w:p>
    <w:p>
      <w:pPr>
        <w:ind w:left="940"/>
        <w:spacing w:after="0" w:line="244" w:lineRule="auto"/>
        <w:rPr>
          <w:rFonts w:ascii="Arial" w:cs="Arial" w:eastAsia="Arial" w:hAnsi="Arial"/>
          <w:sz w:val="20"/>
          <w:szCs w:val="20"/>
          <w:color w:val="auto"/>
        </w:rPr>
      </w:pPr>
      <w:r>
        <w:rPr>
          <w:rFonts w:ascii="Arial" w:cs="Arial" w:eastAsia="Arial" w:hAnsi="Arial"/>
          <w:sz w:val="20"/>
          <w:szCs w:val="20"/>
          <w:color w:val="auto"/>
        </w:rPr>
        <w:t>Agreement may be construed as tax advice from Scotts to Contractor. Contractor has been encouraged to discuss the tax implications of this Agreement with his own tax and financial counsel.</w:t>
      </w:r>
    </w:p>
    <w:p>
      <w:pPr>
        <w:spacing w:after="0" w:line="200" w:lineRule="exact"/>
        <w:rPr>
          <w:sz w:val="20"/>
          <w:szCs w:val="20"/>
          <w:color w:val="auto"/>
        </w:rPr>
      </w:pPr>
    </w:p>
    <w:p>
      <w:pPr>
        <w:spacing w:after="0" w:line="397" w:lineRule="exact"/>
        <w:rPr>
          <w:sz w:val="20"/>
          <w:szCs w:val="20"/>
          <w:color w:val="auto"/>
        </w:rPr>
      </w:pPr>
    </w:p>
    <w:p>
      <w:pPr>
        <w:ind w:left="8080"/>
        <w:spacing w:after="0"/>
        <w:rPr>
          <w:sz w:val="20"/>
          <w:szCs w:val="20"/>
          <w:color w:val="auto"/>
        </w:rPr>
      </w:pPr>
      <w:r>
        <w:rPr>
          <w:rFonts w:ascii="Arial" w:cs="Arial" w:eastAsia="Arial" w:hAnsi="Arial"/>
          <w:sz w:val="20"/>
          <w:szCs w:val="20"/>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80"/>
        <w:spacing w:after="0"/>
        <w:rPr>
          <w:sz w:val="20"/>
          <w:szCs w:val="20"/>
          <w:color w:val="auto"/>
        </w:rPr>
      </w:pPr>
      <w:r>
        <w:rPr>
          <w:rFonts w:ascii="Arial" w:cs="Arial" w:eastAsia="Arial" w:hAnsi="Arial"/>
          <w:sz w:val="20"/>
          <w:szCs w:val="20"/>
          <w:color w:val="auto"/>
        </w:rPr>
        <w:t>By: /s/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27305</wp:posOffset>
            </wp:positionV>
            <wp:extent cx="2109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47" w:lineRule="exact"/>
        <w:rPr>
          <w:sz w:val="20"/>
          <w:szCs w:val="20"/>
          <w:color w:val="auto"/>
        </w:rPr>
      </w:pPr>
    </w:p>
    <w:p>
      <w:pPr>
        <w:ind w:left="8400"/>
        <w:spacing w:after="0"/>
        <w:rPr>
          <w:sz w:val="20"/>
          <w:szCs w:val="20"/>
          <w:color w:val="auto"/>
        </w:rPr>
      </w:pPr>
      <w:r>
        <w:rPr>
          <w:rFonts w:ascii="Arial" w:cs="Arial" w:eastAsia="Arial" w:hAnsi="Arial"/>
          <w:sz w:val="20"/>
          <w:szCs w:val="20"/>
          <w:color w:val="auto"/>
        </w:rPr>
        <w:t>Denise Stump</w:t>
      </w:r>
    </w:p>
    <w:p>
      <w:pPr>
        <w:spacing w:after="0" w:line="54" w:lineRule="exact"/>
        <w:rPr>
          <w:sz w:val="20"/>
          <w:szCs w:val="20"/>
          <w:color w:val="auto"/>
        </w:rPr>
      </w:pPr>
    </w:p>
    <w:p>
      <w:pPr>
        <w:ind w:left="8400"/>
        <w:spacing w:after="0"/>
        <w:rPr>
          <w:sz w:val="20"/>
          <w:szCs w:val="20"/>
          <w:color w:val="auto"/>
        </w:rPr>
      </w:pPr>
      <w:r>
        <w:rPr>
          <w:rFonts w:ascii="Arial" w:cs="Arial" w:eastAsia="Arial" w:hAnsi="Arial"/>
          <w:sz w:val="19"/>
          <w:szCs w:val="19"/>
          <w:color w:val="auto"/>
        </w:rPr>
        <w:t>EVP, Global Human Resources &amp;</w:t>
      </w:r>
    </w:p>
    <w:p>
      <w:pPr>
        <w:spacing w:after="0" w:line="27" w:lineRule="exact"/>
        <w:rPr>
          <w:sz w:val="20"/>
          <w:szCs w:val="20"/>
          <w:color w:val="auto"/>
        </w:rPr>
      </w:pPr>
    </w:p>
    <w:p>
      <w:pPr>
        <w:ind w:left="8400"/>
        <w:spacing w:after="0"/>
        <w:rPr>
          <w:sz w:val="20"/>
          <w:szCs w:val="20"/>
          <w:color w:val="auto"/>
        </w:rPr>
      </w:pPr>
      <w:r>
        <w:rPr>
          <w:rFonts w:ascii="Arial" w:cs="Arial" w:eastAsia="Arial" w:hAnsi="Arial"/>
          <w:sz w:val="20"/>
          <w:szCs w:val="20"/>
          <w:color w:val="auto"/>
        </w:rPr>
        <w:t>Chief Ethics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By: /s/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3353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Adam Hanft, Chief Executive Officer</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Hanft Projects LLC</w:t>
      </w:r>
    </w:p>
    <w:p>
      <w:pPr>
        <w:sectPr>
          <w:pgSz w:w="11900" w:h="16838" w:orient="portrait"/>
          <w:cols w:equalWidth="0" w:num="1">
            <w:col w:w="11380"/>
          </w:cols>
          <w:pgMar w:left="280" w:top="123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March 30, 2019,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68" w:name="page69"/>
    <w:bookmarkEnd w:id="68"/>
    <w:p>
      <w:pPr>
        <w:ind w:left="805"/>
        <w:spacing w:after="0"/>
        <w:rPr>
          <w:sz w:val="20"/>
          <w:szCs w:val="20"/>
          <w:color w:val="auto"/>
        </w:rPr>
      </w:pPr>
      <w:r>
        <w:rPr>
          <w:rFonts w:ascii="Arial" w:cs="Arial" w:eastAsia="Arial" w:hAnsi="Arial"/>
          <w:sz w:val="18"/>
          <w:szCs w:val="18"/>
          <w:color w:val="auto"/>
        </w:rPr>
        <w:t>Hawthorne Lighting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Europe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Nederland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Hawthorne Canada Limited</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HDP Trading B.V.</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3</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4</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05" w:hanging="105"/>
        <w:spacing w:after="0"/>
        <w:tabs>
          <w:tab w:leader="none" w:pos="105"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SMG ITO Holdings, Inc.'s ownership is 51.0%.</w:t>
      </w:r>
    </w:p>
    <w:p>
      <w:pPr>
        <w:spacing w:after="0" w:line="1" w:lineRule="exact"/>
        <w:rPr>
          <w:rFonts w:ascii="Arial" w:cs="Arial" w:eastAsia="Arial" w:hAnsi="Arial"/>
          <w:sz w:val="25"/>
          <w:szCs w:val="25"/>
          <w:color w:val="auto"/>
          <w:vertAlign w:val="superscript"/>
        </w:rPr>
      </w:pPr>
    </w:p>
    <w:p>
      <w:pPr>
        <w:ind w:left="5"/>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30" w:right="1440"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March 30, 2019;</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March 30, 2019;</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March 30, 2019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May 8, 2019</w:t>
            </w:r>
          </w:p>
        </w:tc>
        <w:tc>
          <w:tcPr>
            <w:tcW w:w="5580" w:type="dxa"/>
            <w:vAlign w:val="bottom"/>
          </w:tcPr>
          <w:p>
            <w:pPr>
              <w:ind w:left="360"/>
              <w:spacing w:after="0"/>
              <w:rPr>
                <w:sz w:val="20"/>
                <w:szCs w:val="20"/>
                <w:color w:val="auto"/>
              </w:rPr>
            </w:pPr>
            <w:r>
              <w:rPr>
                <w:rFonts w:ascii="Arial" w:cs="Arial" w:eastAsia="Arial" w:hAnsi="Arial"/>
                <w:sz w:val="18"/>
                <w:szCs w:val="18"/>
                <w:color w:val="auto"/>
              </w:rPr>
              <w:t>May 8, 2019</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lowerRoman"/>
      <w:start w:val="5"/>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upperLetter"/>
      <w:start w:val="9"/>
    </w:lvl>
    <w:lvl w:ilvl="1">
      <w:lvlJc w:val="left"/>
      <w:lvlText w:val="%2."/>
      <w:numFmt w:val="decimal"/>
      <w:start w:val="1"/>
    </w:lvl>
  </w:abstractNum>
  <w:abstractNum w:abstractNumId="18">
    <w:nsid w:val="54E49EB4"/>
    <w:multiLevelType w:val="hybridMultilevel"/>
    <w:lvl w:ilvl="0">
      <w:lvlJc w:val="left"/>
      <w:lvlText w:val="%1"/>
      <w:numFmt w:val="upperLetter"/>
      <w:start w:val="1"/>
    </w:lvl>
    <w:lvl w:ilvl="1">
      <w:lvlJc w:val="left"/>
      <w:lvlText w:val="%2."/>
      <w:numFmt w:val="decimal"/>
      <w:start w:val="9"/>
    </w:lvl>
  </w:abstractNum>
  <w:abstractNum w:abstractNumId="19">
    <w:nsid w:val="71F32454"/>
    <w:multiLevelType w:val="hybridMultilevel"/>
    <w:lvl w:ilvl="0">
      <w:lvlJc w:val="left"/>
      <w:lvlText w:val="%1."/>
      <w:numFmt w:val="upperLetter"/>
      <w:start w:val="35"/>
    </w:lvl>
    <w:lvl w:ilvl="1">
      <w:lvlJc w:val="left"/>
      <w:lvlText w:val="%2"/>
      <w:numFmt w:val="decimal"/>
      <w:start w:val="1"/>
    </w:lvl>
  </w:abstractNum>
  <w:abstractNum w:abstractNumId="20">
    <w:nsid w:val="2CA88611"/>
    <w:multiLevelType w:val="hybridMultilevel"/>
    <w:lvl w:ilvl="0">
      <w:lvlJc w:val="left"/>
      <w:lvlText w:val="%1."/>
      <w:numFmt w:val="upperLetter"/>
      <w:start w:val="61"/>
    </w:lvl>
  </w:abstractNum>
  <w:abstractNum w:abstractNumId="21">
    <w:nsid w:val="836C40E"/>
    <w:multiLevelType w:val="hybridMultilevel"/>
    <w:lvl w:ilvl="0">
      <w:lvlJc w:val="left"/>
      <w:lvlText w:val="%1."/>
      <w:numFmt w:val="decimal"/>
      <w:start w:val="1"/>
    </w:lvl>
    <w:lvl w:ilvl="1">
      <w:lvlJc w:val="left"/>
      <w:lvlText w:val="%2."/>
      <w:numFmt w:val="lowerLetter"/>
      <w:start w:val="1"/>
    </w:lvl>
  </w:abstractNum>
  <w:abstractNum w:abstractNumId="22">
    <w:nsid w:val="2901D8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3">
    <w:nsid w:val="3A95F874"/>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24">
    <w:nsid w:val="8138641"/>
    <w:multiLevelType w:val="hybridMultilevel"/>
    <w:lvl w:ilvl="0">
      <w:lvlJc w:val="left"/>
      <w:lvlText w:val="%1."/>
      <w:numFmt w:val="upperLetter"/>
      <w:start w:val="22"/>
    </w:lvl>
    <w:lvl w:ilvl="1">
      <w:lvlJc w:val="left"/>
      <w:lvlText w:val="%2."/>
      <w:numFmt w:val="decimal"/>
      <w:start w:val="1"/>
    </w:lvl>
    <w:lvl w:ilvl="2">
      <w:lvlJc w:val="left"/>
      <w:lvlText w:val="%3"/>
      <w:numFmt w:val="lowerRoman"/>
      <w:start w:val="1"/>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decimal"/>
      <w:start w:val="1"/>
    </w:lvl>
    <w:lvl w:ilvl="1">
      <w:lvlJc w:val="left"/>
      <w:lvlText w:val="%2."/>
      <w:numFmt w:val="decimal"/>
      <w:start w:val="2"/>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1"/>
      <w:numFmt w:val="bullet"/>
      <w:start w:val="1"/>
    </w:lvl>
  </w:abstractNum>
  <w:abstractNum w:abstractNumId="30">
    <w:nsid w:val="4516DDE9"/>
    <w:multiLevelType w:val="hybridMultilevel"/>
    <w:lvl w:ilvl="0">
      <w:lvlJc w:val="left"/>
      <w:lvlText w:val="3"/>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Archives/edgar/data/825542/000144398419000004/exhibit101smg2019-01x308xk.htm" TargetMode="External"/><Relationship Id="rId12" Type="http://schemas.openxmlformats.org/officeDocument/2006/relationships/hyperlink" Target="http://www.sec.gov/Archives/edgar/data/825542/000144398419000041/exhibit101smg2019-03x20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2019-12-28T12:45:37Z</dcterms:created>
  <dcterms:modified xsi:type="dcterms:W3CDTF">2019-12-28T12:45:37Z</dcterms:modified>
</cp:coreProperties>
</file>