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2" w:lineRule="exact"/>
        <w:rPr>
          <w:sz w:val="20"/>
          <w:szCs w:val="20"/>
          <w:color w:val="auto"/>
        </w:rPr>
      </w:pPr>
    </w:p>
    <w:p>
      <w:pPr>
        <w:ind w:left="1380" w:right="30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2007</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28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0"/>
          <w:szCs w:val="20"/>
          <w:color w:val="auto"/>
        </w:rPr>
      </w:pPr>
    </w:p>
    <w:p>
      <w:pPr>
        <w:ind w:left="138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-5080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1-13292</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20"/>
          </w:cols>
          <w:pgMar w:left="240" w:top="118" w:right="339" w:bottom="1440" w:gutter="0" w:footer="0" w:header="0"/>
        </w:sectPr>
      </w:pPr>
    </w:p>
    <w:p>
      <w:pPr>
        <w:spacing w:after="0" w:line="20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OHIO</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8"/>
          <w:szCs w:val="18"/>
          <w:color w:val="auto"/>
        </w:rPr>
        <w:t>31-1414921</w:t>
      </w:r>
    </w:p>
    <w:p>
      <w:pPr>
        <w:spacing w:after="0" w:line="27"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6" w:lineRule="exact"/>
        <w:rPr>
          <w:sz w:val="20"/>
          <w:szCs w:val="20"/>
          <w:color w:val="auto"/>
        </w:rPr>
      </w:pPr>
    </w:p>
    <w:p>
      <w:pPr>
        <w:sectPr>
          <w:pgSz w:w="11900" w:h="16838" w:orient="portrait"/>
          <w:cols w:equalWidth="0" w:num="2">
            <w:col w:w="6680" w:space="720"/>
            <w:col w:w="3920"/>
          </w:cols>
          <w:pgMar w:left="240" w:top="118" w:right="339" w:bottom="1440" w:gutter="0" w:footer="0" w:header="0"/>
          <w:type w:val="continuous"/>
        </w:sectPr>
      </w:pP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14111 SCOTTSLAWN ROAD, MARYSVILLE, OHIO 43041</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(937) 644-0011</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 CHANGE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Former Address and Former Fiscal Year,</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if Changed Since Last Report)</w:t>
      </w:r>
    </w:p>
    <w:p>
      <w:pPr>
        <w:spacing w:after="0" w:line="99" w:lineRule="exact"/>
        <w:rPr>
          <w:sz w:val="20"/>
          <w:szCs w:val="20"/>
          <w:color w:val="auto"/>
        </w:rPr>
      </w:pPr>
    </w:p>
    <w:p>
      <w:pPr>
        <w:ind w:right="140" w:firstLine="22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ind w:left="2940"/>
        <w:spacing w:after="0" w:line="207" w:lineRule="exact"/>
        <w:tabs>
          <w:tab w:leader="none" w:pos="5120" w:val="left"/>
          <w:tab w:leader="none" w:pos="67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Accelerated Filer o</w:t>
        <w:tab/>
        <w:t>Non-accelerated Filer o</w:t>
      </w:r>
    </w:p>
    <w:p>
      <w:pPr>
        <w:spacing w:after="0" w:line="75" w:lineRule="exact"/>
        <w:rPr>
          <w:sz w:val="20"/>
          <w:szCs w:val="20"/>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Common Shares, without par value, of the registrant outstanding as of August 2, 2007 was 63,698,005.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19"/>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PAGE NO.</w:t>
            </w:r>
          </w:p>
        </w:tc>
        <w:tc>
          <w:tcPr>
            <w:tcW w:w="0" w:type="dxa"/>
            <w:vAlign w:val="bottom"/>
          </w:tcPr>
          <w:p>
            <w:pPr>
              <w:spacing w:after="0"/>
              <w:rPr>
                <w:sz w:val="1"/>
                <w:szCs w:val="1"/>
                <w:color w:val="auto"/>
              </w:rPr>
            </w:pPr>
          </w:p>
        </w:tc>
      </w:tr>
      <w:tr>
        <w:trPr>
          <w:trHeight w:val="169"/>
        </w:trPr>
        <w:tc>
          <w:tcPr>
            <w:tcW w:w="10780" w:type="dxa"/>
            <w:vAlign w:val="bottom"/>
            <w:gridSpan w:val="19"/>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784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3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 Three and nine months ended June 30, 2007 and July 1, 2006</w:t>
              </w:r>
            </w:hyperlink>
          </w:p>
        </w:tc>
        <w:tc>
          <w:tcPr>
            <w:tcW w:w="218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560" w:type="dxa"/>
            <w:vAlign w:val="bottom"/>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 Nine months ended June 30, 2007 and July 1, 2006</w:t>
              </w:r>
            </w:hyperlink>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7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Balance Sheets – June 30, 2007, July 1, 2006, and September 30, 2006</w:t>
              </w:r>
            </w:hyperlink>
          </w:p>
        </w:tc>
        <w:tc>
          <w:tcPr>
            <w:tcW w:w="2860" w:type="dxa"/>
            <w:vAlign w:val="bottom"/>
            <w:gridSpan w:val="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2920" w:type="dxa"/>
            <w:vAlign w:val="bottom"/>
            <w:tcBorders>
              <w:top w:val="single" w:sz="8" w:color="0000EE"/>
            </w:tcBorders>
            <w:gridSpan w:val="4"/>
          </w:tcPr>
          <w:p>
            <w:pPr>
              <w:spacing w:after="0"/>
              <w:rPr>
                <w:sz w:val="17"/>
                <w:szCs w:val="17"/>
                <w:color w:val="auto"/>
              </w:rPr>
            </w:pPr>
          </w:p>
        </w:tc>
        <w:tc>
          <w:tcPr>
            <w:tcW w:w="3600" w:type="dxa"/>
            <w:vAlign w:val="bottom"/>
            <w:gridSpan w:val="3"/>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10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3. 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760" w:type="dxa"/>
            <w:vAlign w:val="bottom"/>
            <w:gridSpan w:val="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4.</w:t>
              </w:r>
            </w:hyperlink>
          </w:p>
        </w:tc>
        <w:tc>
          <w:tcPr>
            <w:tcW w:w="180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Controls and Procedures</w:t>
              </w:r>
            </w:hyperlink>
          </w:p>
        </w:tc>
        <w:tc>
          <w:tcPr>
            <w:tcW w:w="8440" w:type="dxa"/>
            <w:vAlign w:val="bottom"/>
            <w:gridSpan w:val="10"/>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PART II. OTHER INFORMATION:</w:t>
              </w:r>
            </w:hyperlink>
          </w:p>
        </w:tc>
        <w:tc>
          <w:tcPr>
            <w:tcW w:w="814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1.</w:t>
              </w:r>
            </w:hyperlink>
          </w:p>
        </w:tc>
        <w:tc>
          <w:tcPr>
            <w:tcW w:w="136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Legal Proceedings</w:t>
              </w:r>
            </w:hyperlink>
          </w:p>
        </w:tc>
        <w:tc>
          <w:tcPr>
            <w:tcW w:w="8880" w:type="dxa"/>
            <w:vAlign w:val="bottom"/>
            <w:gridSpan w:val="1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1A. Risk Factors</w:t>
              </w:r>
            </w:hyperlink>
          </w:p>
        </w:tc>
        <w:tc>
          <w:tcPr>
            <w:tcW w:w="9180" w:type="dxa"/>
            <w:vAlign w:val="bottom"/>
            <w:gridSpan w:val="13"/>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2.</w:t>
              </w:r>
            </w:hyperlink>
          </w:p>
        </w:tc>
        <w:tc>
          <w:tcPr>
            <w:tcW w:w="438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Unregistered Sales of Equity Securities and Use of Proceeds</w:t>
              </w:r>
            </w:hyperlink>
          </w:p>
        </w:tc>
        <w:tc>
          <w:tcPr>
            <w:tcW w:w="5860" w:type="dxa"/>
            <w:vAlign w:val="bottom"/>
            <w:gridSpan w:val="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6.</w:t>
              </w:r>
            </w:hyperlink>
          </w:p>
        </w:tc>
        <w:tc>
          <w:tcPr>
            <w:tcW w:w="10240" w:type="dxa"/>
            <w:vAlign w:val="bottom"/>
            <w:gridSpan w:val="17"/>
          </w:tcPr>
          <w:p>
            <w:pPr>
              <w:ind w:left="20"/>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Signatures</w:t>
              </w:r>
            </w:hyperlink>
          </w:p>
        </w:tc>
        <w:tc>
          <w:tcPr>
            <w:tcW w:w="9620" w:type="dxa"/>
            <w:vAlign w:val="bottom"/>
            <w:gridSpan w:val="1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54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80" w:type="dxa"/>
            <w:vAlign w:val="bottom"/>
            <w:gridSpan w:val="19"/>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Index to Exhibits</w:t>
              </w:r>
            </w:hyperlink>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EX-18</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Borders>
              <w:top w:val="single" w:sz="8" w:color="auto"/>
            </w:tcBorders>
            <w:gridSpan w:val="3"/>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2007</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1,098.4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2,362.9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642.0</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1,516.5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restructuring and other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potential common shares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0.125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8.375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784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153.7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of sale of property, plant, and equipment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 net of acquired businesses: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Restructuring reserves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non-current items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property, plant and equipment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acquired businesses, net of cash acquired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under borrowing agreements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2,458.3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Repayments under borrowing agreements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(1,489.3)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of 6 5/8% senior subordinated notes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common shares and related costs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fees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seller notes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Excess tax benefits from share-based payment arrangements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 net of interest capitalized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340" w:type="dxa"/>
            <w:vAlign w:val="bottom"/>
            <w:gridSpan w:val="3"/>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6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less allowances of $12.9, $11.4 and $11.3, respectively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662.1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pledged under MARP Agreement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432.6</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1,323.1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1,223.3</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$406.4, $366.3 and $370.0,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356.0</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473.3</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2,618.9</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2,546.5</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640" w:type="dxa"/>
            <w:vAlign w:val="bottom"/>
            <w:gridSpan w:val="2"/>
          </w:tcPr>
          <w:p>
            <w:pPr>
              <w:ind w:left="38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240.6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656.7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1,030.1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613.2</w:t>
            </w: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2,112.8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1,407.8</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shares and capital in excess of $.01 stated value per share, 63.7, 66.9 and 66.6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508.3</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741.7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shares, at cost: 4.5, 1.2, and 1.5 shares,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1,138.7</w:t>
            </w: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2,618.9</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2,546.5</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117" w:lineRule="exact"/>
        <w:rPr>
          <w:sz w:val="20"/>
          <w:szCs w:val="20"/>
          <w:color w:val="auto"/>
        </w:rPr>
      </w:pPr>
    </w:p>
    <w:p>
      <w:pPr>
        <w:ind w:right="6780" w:firstLine="8"/>
        <w:spacing w:after="0" w:line="375"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SIGNIFICANT ACCOUNTING POLICIES NATURE OF OPERATIONS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which provides lawn and tree and shrub fertilization, insect control and other related services in the United States, and Smith &amp; Hawken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leading brand in the outdoor living and gardening lifestyle category with sales in the retail, internet, catalog, trade and wholesale channels. Effective November 18, 2005, the Company entered the North America wild bird food category with the acquisition of Gutwein &amp; Co. Inc. (“Gutwein”).</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 As a result of the seasonal nature of our business, results for the first nine months cannot be annualized to predict the results of the full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AND BASIS OF PRESENTATION</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unaudited; however, in the opinion of management, these financial statements are presented in accordance with accounting principles generally accepted in the United States of America. The condensed, consolidated financial statements include the accounts of Scotts Miracle-Gro and all wholly-owned and majority-owned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Scotts Miracle-Gro’s Annual Report on Form 10-K for the fiscal year ended September 30, 2006.</w:t>
      </w:r>
    </w:p>
    <w:p>
      <w:pPr>
        <w:spacing w:after="0" w:line="7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balance sheet at September 30, 2006 has been derived from the audited financial statements at that date but does not include all of the information and notes required by generally accepted accounting principles for complete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of returns and are periodically adjusted for known changes in return levels. Shipping and handling costs are included in cost of sales.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revenues are recognized at the time service is provided to the customer.</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The actual costs incurred by the Company on behalf of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are recovered from Monsanto through the terms of the Marketing Agreement. The reimbursement of costs for which the Company is considered the primary obligor is included in net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ALLOWANCES</w:t>
      </w:r>
    </w:p>
    <w:p>
      <w:pPr>
        <w:spacing w:after="0" w:line="11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Condensed, Consolidated Balance Sheets.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The costs deferred at June 30, 2007, July 1, 2006 and September 30, 2006 were $8.1 million, $3.9 million and $5.6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AWARDS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fiscal 2003, the Company began expensing prospective grants of employee stock-based compensation awards in accordance with Statement of Financial Accounting Standards (SFAS) No. 123, “Accounting for Stock-Based Compensation.” The Company adopted SFAS 123(R), “Share-Based Payment” effective October 1, 2005, following the modified prospective application approach. The Company was already in substantial compliance with SFAS 123(R) at the adoption date as the standard closely parallels SFAS 123. The fair value of awards is expensed ratably over the vesting period, generally three years, except for grants to members of the Board of Directors that have a shorter vesting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INDEFINITE-LIVED INTANGIBLE ASSETS</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accordance with SFAS 142, “Goodwill and Other Intangible Assets”, goodwill and intangible assets determined to have indefinite lives are not subject to amortization. Goodwill and indefinite-lived intangible assets are reviewed for impairment by applying a fair-value based test on an annual basis or more frequently if circumstances indicate a potential impairment. If it is determined that an impairment has occurred, an impairment loss is recognized for the amount by which the carrying amount of the asset exceeds its estimated fair value and is classified as “Impairment, restructuring, and other charges” in the Condensed, Consolidated Statements of Operations.</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2007, the Company changed the timing of its annual goodwill impairment testing from the last day of the fiscal first quarter to the first day of the fiscal fourth quarter. As such, the annual impairment test was performed as of December 30, 2006 and will be performed again as of July 1, 2007. This accounting is preferable in the circumstances as moving the timing of the annual goodwill impairment testing better aligns with the seasonal nature of the business and the timing of the annual strategic planning process. The Company believes that this change in accounting principle will not delay, accelerate, or avoid an impairment charge. In addition, the Company also changed the date of its annual indefinite life intangible impairment testing to the first day of the fiscal fourth quarter, July 1, 2007 for the current year. The Company determined that the change in accounting principle related to the annual testing date does not result in adjustments to the financial statements applied retrospectively.</w:t>
      </w:r>
    </w:p>
    <w:p>
      <w:pPr>
        <w:spacing w:after="0" w:line="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impairment analysis for the first quarter of fiscal 2007 indicated that no impairment charges were required. The $1.0 million charge recorded in the first quarter of fiscal 2006 related to a tradename written off in the United Kingdom.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COMMON SHARE</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reconciles the number of common shares used to compute basic net income per common share to the number of diluted common shares used to compute diluted net income per common share. Options with exercise prices greater than the average market price of the underlying common shares are excluded from the computation of diluted net income per common share because the effect would be antidilutive. The number of options excluded at June 30, 2007 and July 1, 2006 were immaterial.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JULY 1, 2006</w:t>
            </w:r>
          </w:p>
        </w:tc>
        <w:tc>
          <w:tcPr>
            <w:tcW w:w="62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102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JULY 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9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EXCEPT PER SHARE DATA)</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Determination of common shares: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95"/>
              </w:rPr>
              <w:t>67.5</w:t>
            </w:r>
          </w:p>
        </w:tc>
        <w:tc>
          <w:tcPr>
            <w:tcW w:w="2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Assumed exercise of dilutive options and SARs and vesting of restricted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average common shares outstanding</w:t>
            </w:r>
          </w:p>
        </w:tc>
        <w:tc>
          <w:tcPr>
            <w:tcW w:w="2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95"/>
              </w:rPr>
              <w:t>69.4</w:t>
            </w:r>
          </w:p>
        </w:tc>
        <w:tc>
          <w:tcPr>
            <w:tcW w:w="26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1.97</w:t>
            </w: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1.92</w:t>
            </w:r>
          </w:p>
        </w:tc>
        <w:tc>
          <w:tcPr>
            <w:tcW w:w="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for a discussion of the Company’s recapitalization transactions that were consummated in the second quarter of fiscal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ESTIMATES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Financial Accounting Standards No. 157 — Fair Value Measurements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September 2006, the Financial Accounting Standards Board issued Statement of Financial Accounting Standards (SFAS) 157, “Fair Value Measurements.” SFAS 157 defines fair value, establishes a framework for measuring fair value, and expands disclosures about fair value measurements. The Company will be required to adopt SFAS 157 no later than October 1, 2008, the beginning of its 2009 fiscal year. The Company has not yet determined the effect, if any, that the adoption of SFAS 157 will have on its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Financial Accounting Standards No. 158 — Employers’ Accounting for Defined Benefit Pension and Other Postretirement Plans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Financial Accounting Standards Board has issued SFAS 158, “Employers’ Accounting for Defined Benefit Pension and Other Postretirement Plans-an amendment of FASB Statements No. 87, 88, 106, and 132(R).” SFAS 158 will require the Company to recognize the underfunded status of its defined benefit postretirement plans as a liability in its balance sheet and to recognize changes in that funded status in the year in which the changes occur through comprehensive income. SFAS 158 does not change the way the Company measures plan assets and benefit obligations as of the date of its balance sheet and in determining the amount of net periodic benefit cost.</w:t>
      </w:r>
    </w:p>
    <w:p>
      <w:pPr>
        <w:spacing w:after="0" w:line="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will be required to adopt the provisions of SFAS 158 as of September 30, 2007. At September 30, 2006, the Company’s projected benefit obligation for its defined benefit plans exceeded the accumulated benefit obligation and the accumulated plan benefit obligation for its post-retirement medical plan exceeded the recorded liability. If the provisions of SFAS 158 were adopted as of September 30, 2006, the Company would have been required to record an additional long-term liability of $26.3 million, an additional long-term deferred tax asset of $9.6 million, and charge the “Accumulated other comprehensive loss” component of shareholders’ equity for $16.7 million.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Financial Accounting Standards No. 159 —The Fair Value Option for Financial Assets and Financial Liabilities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15, 2007, the Financial Accounting Standards Board issued SFAS No. 159, “The Fair Value Option for Financial Assets and Financial Liabilities”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Company’s financial statements for the fiscal year beginning on October 1, 2008, with earlier adoption permitted. Management is currently evaluating SFAS 159 and whether to elect the fair value option for measuring certain financial assets and liabilities.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 48 — Accounting for Uncertainty in Income Taxes — An Interpretation of FASB Statement No. 109</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Financial Accounting Standards Board has issued Interpretation (FIN) 48, “Accounting for Uncertainty in Income Taxes — an interpretation of FASB Statement No. 109.” This Interpretation clarifies the accounting for uncertainty in income taxes recognized in an enterprise’s financial statements in accordance with SFAS No. 109, “Accounting for Income Taxes.”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pacing w:after="0" w:line="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will be required to adopt the provisions of FIN 48 in respect of all the Company’s tax positions as of October 1, 2007, the beginning of the 2008 fiscal year. The cumulative effect of applying the provisions of the Interpretation will be reported as an adjustment to the opening balance of retained earnings for the 2008 fiscal year. The Company has not completed its evaluation of FIN 48 and the effect the adoption of the Interpretation will have on the Company’s consolidated financial statements. It is possible that the adoption of this Interpretation will have a material effect on future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RECAPITALIZATION</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December 12, 2006, the Company announced a recapitalization plan to return $750 million to the Company’s shareholders. This plan expanded and accelerated the previously announced five-year $500 million share repurchase program (which was canceled) under which the Company repurchased $87.9 million of its common shares during fiscal 2006. Pursuant to the recapitalization plan, on February 14, 2007, the Company completed a modified “Dutch auction” tender offer, resulting in the repurchase of 4.5 million of the Company’s common shares for an aggregate purchase price of $245.5 million ($54.50 per share). On February 16, 2007, the Company’s Board of Directors declared a special one-time cash dividend of $8.00 per share ($508 million in the aggregate), which was paid on March 5, 2007, to shareholders of record on February 26, 2007.</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fund these transactions, the Company entered into new credit facilities aggregating $2.15 billion and terminated its prior credit facility. As part of this debt restructuring, the Company also conducted a cash tender offer for any and all of its outstanding 6 5/8% senior subordinated notes in an aggregate principal amount of $200 million. Reference should be made to Note 6, “Debt” for further information as to the new credit facilities and the repayment and termination of the prior credit facility and the 6 5/8% senior subordinated notes.</w:t>
      </w:r>
    </w:p>
    <w:p>
      <w:pPr>
        <w:spacing w:after="0" w:line="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payment of the special one-time cash dividend required the Company to adjust the number of common shares subject to stock options and stock appreciation rights outstanding under the Company’s share-based awards programs, as well as the price at which the awards may be exercised. Reference should be made to Note 9, “Stock-Based Compensation Awards” for further information.</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interest expense will be significantly higher for periods subsequent to the recapitalization as a result of the borrowings incurred to fund the cash returned to shareholders. The following pro forma financial information has been compiled as if the Company had completed the recapitalization transactions as of October 1, 2005 for fiscal 2006 and as of October 1, 2006 for fiscal 2007. Borrowing rates in effect as of March 30, 2007 were used to compute pro forma interest expense. As the recapitalization involved a share repurchase, pro forma diluted common shares are also provided. No pro forma adjustments are necessary for the three-month period ended June 30, 2007, as the recapitalization transactions were consummated prior to the start of the period. Therefore, the information below for the three-month period ended June 30, 2007, displays actual results for that period and is provided for comparative purposes.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 FINANCIAL INFORMATION</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8"/>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Borders>
              <w:top w:val="single" w:sz="8" w:color="auto"/>
            </w:tcBorders>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Borders>
              <w:top w:val="single" w:sz="8" w:color="auto"/>
            </w:tcBorders>
            <w:gridSpan w:val="4"/>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7"/>
              </w:rPr>
              <w:t>JULY 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2007</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DATA)</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EXCEPT PER SHARE</w:t>
            </w:r>
          </w:p>
        </w:tc>
        <w:tc>
          <w:tcPr>
            <w:tcW w:w="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as reported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200.9</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238.4</w:t>
            </w: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Add back reported interest expense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52.3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costs related to refinancing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18.3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Deduct pro forma interest expense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income before income taxes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233.1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 forma income taxes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82.8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129.7</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150.3</w:t>
            </w: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basic net income per common share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Pr>
          <w:p>
            <w:pPr>
              <w:spacing w:after="0"/>
              <w:rPr>
                <w:sz w:val="24"/>
                <w:szCs w:val="24"/>
                <w:color w:val="auto"/>
              </w:rPr>
            </w:pPr>
          </w:p>
        </w:tc>
        <w:tc>
          <w:tcPr>
            <w:tcW w:w="660" w:type="dxa"/>
            <w:vAlign w:val="bottom"/>
            <w:gridSpan w:val="2"/>
          </w:tcPr>
          <w:p>
            <w:pPr>
              <w:jc w:val="center"/>
              <w:ind w:left="3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2.38</w:t>
            </w:r>
          </w:p>
        </w:tc>
        <w:tc>
          <w:tcPr>
            <w:tcW w:w="4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diluted net income per common share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2.31</w:t>
            </w: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interest expense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Pr>
          <w:p>
            <w:pPr>
              <w:spacing w:after="0"/>
              <w:rPr>
                <w:sz w:val="24"/>
                <w:szCs w:val="24"/>
                <w:color w:val="auto"/>
              </w:rPr>
            </w:pPr>
          </w:p>
        </w:tc>
        <w:tc>
          <w:tcPr>
            <w:tcW w:w="660" w:type="dxa"/>
            <w:vAlign w:val="bottom"/>
            <w:gridSpan w:val="2"/>
          </w:tcPr>
          <w:p>
            <w:pPr>
              <w:jc w:val="center"/>
              <w:ind w:left="3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52.3</w:t>
            </w:r>
          </w:p>
        </w:tc>
        <w:tc>
          <w:tcPr>
            <w:tcW w:w="4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interest on recapitalization borrowings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21.8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New credit facility interest rate differential</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amortization of new credit facility fees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 forma interest expense</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18"/>
                <w:szCs w:val="18"/>
                <w:u w:val="single" w:color="auto"/>
                <w:color w:val="auto"/>
              </w:rPr>
              <w:t>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ind w:right="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effective tax rates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PRO FORMA SHARES</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8"/>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Borders>
              <w:bottom w:val="single" w:sz="8" w:color="auto"/>
            </w:tcBorders>
          </w:tcPr>
          <w:p>
            <w:pPr>
              <w:spacing w:after="0"/>
              <w:rPr>
                <w:sz w:val="15"/>
                <w:szCs w:val="15"/>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3"/>
              </w:rPr>
              <w:t>MILLIONS)</w:t>
            </w: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w w:val="78"/>
              </w:rPr>
              <w:t>(IN</w:t>
            </w:r>
          </w:p>
        </w:tc>
        <w:tc>
          <w:tcPr>
            <w:tcW w:w="660" w:type="dxa"/>
            <w:vAlign w:val="bottom"/>
            <w:gridSpan w:val="3"/>
            <w:vMerge w:val="continue"/>
          </w:tcPr>
          <w:p>
            <w:pPr>
              <w:spacing w:after="0"/>
              <w:rPr>
                <w:sz w:val="12"/>
                <w:szCs w:val="12"/>
                <w:color w:val="auto"/>
              </w:rPr>
            </w:pPr>
          </w:p>
        </w:tc>
        <w:tc>
          <w:tcPr>
            <w:tcW w:w="68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Incremental full period impact of repurchased common shares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common shares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w:t>
            </w: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potential common shares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65.4</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full period impact of repurchased common shares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Impact on dilutive potential common shares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diluted common shares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DETAIL OF INVENTORIES, NET</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Inventories, net of provisions for slow moving and obsolete inventory of $15.8 million, $15.9 million, and $15.1 million, as of June 30, 2007, July 1, 2006 and September 30, 2006, respectively, consisted of:</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312.6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1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2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MARKETING AGREEMENT</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Monsanto’s exclusive agent for the domestic and international marketing and distribution of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 The Marketing Agreement also requires the Company to make annual payments to Monsanto as a contribution against the overall expenses of the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The annual contribution payment is defined in the Marketing Agreement as $20 million.</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terms of the Marketing Agreement, the Company performs certain functions, primarily manufacturing conversion, selling and marketing support, on behalf of Monsanto in the conduct of the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net sales and cost of sales related to these reimbursed costs are $12.0 million and $11.5 million for the three-month periods and $32.1 million and $29.7 million for the nine-month periods ended June 30, 2007 and July 1, 2006,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elements of the net commission earned under the Marketing Agreement and included in “Net sales”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JULY 1, 2006</w:t>
            </w:r>
          </w:p>
        </w:tc>
        <w:tc>
          <w:tcPr>
            <w:tcW w:w="62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112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JULY 1, 2006</w:t>
            </w:r>
          </w:p>
        </w:tc>
        <w:tc>
          <w:tcPr>
            <w:tcW w:w="100" w:type="dxa"/>
            <w:vAlign w:val="bottom"/>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left="35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8"/>
              </w:rPr>
              <w:t>MILLIONS)</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commission</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5"/>
              </w:rPr>
              <w:t>29.0</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5"/>
              </w:rPr>
              <w:t>31.5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50.4</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488"/>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marketing fee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commission income</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center"/>
              <w:ind w:left="314"/>
              <w:spacing w:after="0"/>
              <w:rPr>
                <w:sz w:val="20"/>
                <w:szCs w:val="20"/>
                <w:color w:val="auto"/>
              </w:rPr>
            </w:pPr>
            <w:r>
              <w:rPr>
                <w:rFonts w:ascii="Times New Roman" w:cs="Times New Roman" w:eastAsia="Times New Roman" w:hAnsi="Times New Roman"/>
                <w:sz w:val="18"/>
                <w:szCs w:val="18"/>
                <w:color w:val="auto"/>
                <w:w w:val="95"/>
              </w:rPr>
              <w:t>23.8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26.3</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Reimbursements associated with Marketing Agreement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5"/>
              </w:rPr>
              <w:t>12.0</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5"/>
              </w:rPr>
              <w:t>11.5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sales associated with Marketing Agreement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center"/>
              <w:ind w:left="314"/>
              <w:spacing w:after="0"/>
              <w:rPr>
                <w:sz w:val="20"/>
                <w:szCs w:val="20"/>
                <w:color w:val="auto"/>
              </w:rPr>
            </w:pPr>
            <w:r>
              <w:rPr>
                <w:rFonts w:ascii="Times New Roman" w:cs="Times New Roman" w:eastAsia="Times New Roman" w:hAnsi="Times New Roman"/>
                <w:sz w:val="18"/>
                <w:szCs w:val="18"/>
                <w:color w:val="auto"/>
                <w:w w:val="95"/>
              </w:rPr>
              <w:t>35.8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37.8</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to the Company under the Marketing Agreement for North America, the Company was required to pay a marketing fee of $33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Marketing Agreement has no definite term except as it relates to the European Union countries. With respect to the European Union countries, the term of the Marketing Agreement has been extended through September 30, 2008 and 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with respect to the European Union countries, the commission structure will be renegotiated within the terms of the Marketing Agreement. For countries outside of the European Union, the Marketing Agreement continues indefinitely unless terminated by either party.</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Marketing Agreement provides Monsanto with the right to terminate the Marketing Agreement for an event of default (as defined in the Marketing Agreement) by the Company or a change in control of Monsanto or the sale of the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The Marketing Agreement provides the Company with the right to terminate the Marketing Agreement in certain circumstances including an event of default by Monsanto or the sale of the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prior to September 30, 2008, the Company will be entitled to a termination fee in excess of $100 million. If the Company terminates the Marketing Agreement upon an uncured material breach, material fraud or material willful misconduct by Monsanto, it is entitled to receive a termination fee in excess of $100 million if the termination occurs prior to September 30, 2008. The termination fee declines over time from</w:t>
      </w:r>
    </w:p>
    <w:p>
      <w:pPr>
        <w:spacing w:after="0" w:line="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$100 million to a minimum of $16 million for terminations between September 30, 2008 and September 30, 2018. If Monsanto were to terminate the Marketing Agreement for cause, the Company would not be entitled to any termination fee, and it would lose all, or a significant portion, of the significant source of earnings and overhead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expense absorption the Marketing Agreement provides. Monsanto may also be able to terminate the Marketing Agreement within a given region, including North America, without paying a termination fee if sales to consumers in that region decline: (1) over a cumulative three fiscal year period; or (2) by more than 5% for each of two consecutive years.</w:t>
      </w:r>
    </w:p>
    <w:p>
      <w:pPr>
        <w:spacing w:after="0" w:line="176" w:lineRule="exact"/>
        <w:rPr>
          <w:sz w:val="20"/>
          <w:szCs w:val="20"/>
          <w:color w:val="auto"/>
        </w:rPr>
      </w:pPr>
    </w:p>
    <w:p>
      <w:pPr>
        <w:ind w:right="6580" w:firstLine="8"/>
        <w:spacing w:after="0" w:line="375"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RESTRUCTURING AND OTHER CHARGES FISCAL 2007 CHARGES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recorded impairment, restructuring and other charges to date in fiscal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2006 CHARGES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and nine month periods ended July 1, 2006, the Company recorded $1.1 million and $6.9 million, respectively, of restructuring and other charges relating to the profit improvement plan initiated in fiscal 2005, consisting primarily of severance and related costs. In addition, an impairment charge of $1.0 million was recorded during the first quarter of fiscal 2006 for a tradename no longer in use in our United Kingdom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detail of impairment, restructuring and other charges reported in the Condensed, Consolidated Statements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11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JULY 1, 2006</w:t>
            </w:r>
          </w:p>
        </w:tc>
        <w:tc>
          <w:tcPr>
            <w:tcW w:w="100" w:type="dxa"/>
            <w:vAlign w:val="bottom"/>
          </w:tcPr>
          <w:p>
            <w:pPr>
              <w:spacing w:after="0"/>
              <w:rPr>
                <w:sz w:val="12"/>
                <w:szCs w:val="12"/>
                <w:color w:val="auto"/>
              </w:rPr>
            </w:pPr>
          </w:p>
        </w:tc>
      </w:tr>
      <w:tr>
        <w:trPr>
          <w:trHeight w:val="142"/>
        </w:trPr>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w:t>
            </w: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1"/>
              </w:rPr>
              <w:t>MILLIONS)</w:t>
            </w: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related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other intangibles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is a roll forward of accrued restructuring and other charges, which are included in “Accrued liabilities” in the Condensed, 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110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JULY 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1"/>
              </w:rPr>
              <w:t>MILLIONS)</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reserved for restructuring and other charges at beginning of fiscal year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6.4</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expense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and 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Amounts reserved for restructuring and other charges at end of period</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 DEBT</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long-term debt as of June 30, 2007, July 1, 2006, and September 30, 2006 are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54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24"/>
                <w:szCs w:val="24"/>
                <w:color w:val="auto"/>
              </w:rPr>
            </w:pPr>
          </w:p>
        </w:tc>
        <w:tc>
          <w:tcPr>
            <w:tcW w:w="130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6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401.7</w:t>
            </w:r>
          </w:p>
        </w:tc>
        <w:tc>
          <w:tcPr>
            <w:tcW w:w="4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253.8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Master Accounts Receivable Purchase Agreement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5/8% Senior Subordinated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200.0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Notes due to sellers</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bank borrowings and term loans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1,267.3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626.2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481.2</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1,030.1</w:t>
            </w: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613.2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475.2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connection with the recapitalization plan discussed in Note 2, Scotts Miracle-Gro and certain of its subsidiaries have entered into the following loan facilities totaling up to $2.15 billion in the aggregate: (a) a senior secured five-year term loan in the principal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amount of $560 million and (b) a senior secured five-year revolving loan facility in the aggregate principal amount of up to $1.59 billion. Borrowings may be made in various currencies including United States dollars, Euro dollars, British pounds sterling, Australian dollars and Canadian dollars. The new</w:t>
      </w:r>
    </w:p>
    <w:p>
      <w:pPr>
        <w:ind w:right="80"/>
        <w:spacing w:after="0" w:line="252" w:lineRule="auto"/>
        <w:rPr>
          <w:sz w:val="20"/>
          <w:szCs w:val="20"/>
          <w:color w:val="auto"/>
        </w:rPr>
      </w:pPr>
      <w:r>
        <w:rPr>
          <w:rFonts w:ascii="Times New Roman" w:cs="Times New Roman" w:eastAsia="Times New Roman" w:hAnsi="Times New Roman"/>
          <w:sz w:val="18"/>
          <w:szCs w:val="18"/>
          <w:color w:val="auto"/>
        </w:rPr>
        <w:t>$2.15 billion senior secured credit facilities replaced the Company’s $1.05 billion senior credit facility. The terms of the new facilities provide for customary representations and warranties and affirmative covenants similar to the prior facility. The new credit facilities also contain customary negative covenants providing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(including dividend payments restricted to $75 million annually based on the current Leverage Ratio of the Company). The new credit facilities are secured by collateral that includes certain domestic accounts receivable (exclusive of any “sold” receivables), inventory, and equipment. The new credit facilities also require the maintenance of a specified Leverage Ratio and Minimum Interest Coverage (both as defined).</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new credit facilities have several borrowing options, including interest rates that are based on (i) a LIBOR rate plus a margin based on a Leverage Ratio (as defined) or (ii) the greater of the prime rate or the Federal Funds Effective Rate (as defined) plus 1/2 of 1% plus a margin based on a Leverage Ratio. Commitment fees are paid quarterly and are calculated as an amount equal to the product of a rate based on a Leverage Ratio (as defined) and the average daily unused portion of both the revolving and term credit facilities. Amounts outstanding under the new credit facilities at June 30, 2007 were at interest rates based on LIBOR applicable to the borrowed currencies plus 125 basis points.</w:t>
      </w:r>
    </w:p>
    <w:p>
      <w:pPr>
        <w:spacing w:after="0" w:line="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10, 2007, the Company also launched a cash tender offer for any and all of its outstanding 6 5/8% senior subordinated notes due 2013 in an aggregate principal amount of $200 million. Substantially all of the 6 5/8% senior subordinated notes were repurchased under the terms of the tender offer on February 14, 2007. The remaining senior subordinated notes not tendered were subsequently called and repurchased on March 26, 2007. Proceeds from the new credit facilities were used to fund the repurchase of the 6 5/8% senior subordinated notes, at an aggregate cost of $209.6 million including an early redemption premium.</w:t>
      </w:r>
    </w:p>
    <w:p>
      <w:pPr>
        <w:spacing w:after="0" w:line="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June 30, 2007, the Company had outstanding interest rate swaps with major financial institutions that effectively converted a portion of our variable-rate debt denominated in the Euro dollar, British pound and U.S. dollar to a fixed rate. The swap agreements have a total U.S. dollar equivalent notional amount of $713.9 million. The term, expiration date and rates of these swaps are shown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 IN</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pound</w:t>
            </w:r>
          </w:p>
        </w:tc>
        <w:tc>
          <w:tcPr>
            <w:tcW w:w="7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56.7</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years</w:t>
            </w:r>
          </w:p>
        </w:tc>
        <w:tc>
          <w:tcPr>
            <w:tcW w:w="2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11/17/2008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Euro dollar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57.2</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years</w:t>
            </w:r>
          </w:p>
        </w:tc>
        <w:tc>
          <w:tcPr>
            <w:tcW w:w="2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11/17/2008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 years</w:t>
            </w:r>
          </w:p>
        </w:tc>
        <w:tc>
          <w:tcPr>
            <w:tcW w:w="2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3/31/2009</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dollar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years</w:t>
            </w:r>
          </w:p>
        </w:tc>
        <w:tc>
          <w:tcPr>
            <w:tcW w:w="2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3/31/2010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 years</w:t>
            </w:r>
          </w:p>
        </w:tc>
        <w:tc>
          <w:tcPr>
            <w:tcW w:w="2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2/14/2012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recorded a charge of $18.3 million (including approximately $8.0 million of noncash charges associated with the write-off of deferred financing costs) during the second quarter of fiscal 2007 relating to the refinancing of the $1.05 billion senior credit facility and the repurchase of the 6 5/8% senior subordinated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Accounts Receivable Purchase Agreement</w:t>
      </w:r>
    </w:p>
    <w:p>
      <w:pPr>
        <w:spacing w:after="0" w:line="11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On April 11, 2007, the Company entered into a Master Accounts Receivable Purchase Agreement (the “MARP Agreement”) with two banks with a stated termination date of April 10, 2008. The MARP Agreement provides for the sale, on a revolving basis, of account receivables generated by specified account debtors, with seasonally adjusted monthly aggregate limits ranging from $55 million to $300 million. The MARP Agreement also provides for specified account debtor sublimit amounts, which provide limits on the amount of receivables owed by individual account debtors that can be sold to the banks.</w:t>
      </w:r>
    </w:p>
    <w:p>
      <w:pPr>
        <w:spacing w:after="0" w:line="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MARP Agreement provides that although the specified receivables are sold to the banks, the banks have the right to require the Company to repurchase uncollected receivables if certain events occur, including the breach of certain covenants, warranties or representations made by the Company with respect to such receivables. However, the banks do not have the right to require the Company to repurchase any uncollected receivables if nonpayment is due to the account debtor’s financial inability to pay.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Company has the right at any time to repurchase any receivables which have been sold to the banks pursuant to the MARP Agreement. The banks receive a discount on the adjusted amount of the receivables purchased, which effectively is equal to the 30-day LIBOR rate plus a margin of .65% per annum. The Company continues to be responsible for the servicing and administration of the receivables purchased by the banks as agent and trustee for the banks.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accounts for the sale of receivables under the MARP Agreement as short-term debt and continues to carry the receivables on its consolidated balance sheet, in accordance with SFAS 140, “Accounting for Transfers and Servicing of Financial Assets and Extinguishments of Liabilities,” primarily as a result of the Company’s right to repurchase receivables sold to the banks. The caption “Accounts receivable pledged under MARP Agreement” reflecting the amount of $307.8 million on the accompanying Condensed, Consolidated Balance Sheet as of June 30, 2007, represents the pool of receivables that have been designated as “sold” and serve as collateral for short-term debt in the amount of $222.6 million as of that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COMPREHENSIVE INCOME</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components of other comprehensive income and total comprehensive income for the three and nine month periods ended June 30, 2007 and July 1, 2006,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center"/>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81"/>
              </w:rPr>
              <w:t>MILLIONS)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78"/>
              </w:rPr>
              <w:t>MILLIONS)</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w w:val="78"/>
              </w:rPr>
              <w:t>(IN</w:t>
            </w: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129.7</w:t>
            </w: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153.7</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valuation of derivative instruments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133.7</w:t>
            </w: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158.5</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RETIREMENT AND RETIREE MEDICAL PLANS COST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net periodic benefit cost for the various retirement and retiree medical plans sponsored by the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2007</w:t>
            </w:r>
          </w:p>
        </w:tc>
        <w:tc>
          <w:tcPr>
            <w:tcW w:w="560" w:type="dxa"/>
            <w:vAlign w:val="bottom"/>
          </w:tcPr>
          <w:p>
            <w:pPr>
              <w:spacing w:after="0"/>
              <w:rPr>
                <w:sz w:val="15"/>
                <w:szCs w:val="15"/>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2006</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60" w:type="dxa"/>
            <w:vAlign w:val="bottom"/>
            <w:gridSpan w:val="2"/>
          </w:tcPr>
          <w:p>
            <w:pPr>
              <w:jc w:val="right"/>
              <w:ind w:right="598"/>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Frozen defined benefit plans</w:t>
            </w:r>
          </w:p>
        </w:tc>
        <w:tc>
          <w:tcPr>
            <w:tcW w:w="8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benefit plans</w:t>
            </w:r>
          </w:p>
        </w:tc>
        <w:tc>
          <w:tcPr>
            <w:tcW w:w="80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8"/>
                <w:szCs w:val="18"/>
                <w:color w:val="auto"/>
              </w:rPr>
            </w:pPr>
          </w:p>
        </w:tc>
        <w:tc>
          <w:tcPr>
            <w:tcW w:w="90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Retiree medical plan</w:t>
            </w:r>
          </w:p>
        </w:tc>
        <w:tc>
          <w:tcPr>
            <w:tcW w:w="8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STOCK-BASED COMPENSATION AWARDS</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recap of the share-based awards granted over the periods indicated:</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5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JULY 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employees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Options</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801,400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and SARs due to recapitalization</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872,147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Performance shares</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126,000</w:t>
            </w:r>
          </w:p>
        </w:tc>
        <w:tc>
          <w:tcPr>
            <w:tcW w:w="0" w:type="dxa"/>
            <w:vAlign w:val="bottom"/>
          </w:tcPr>
          <w:p>
            <w:pPr>
              <w:spacing w:after="0"/>
              <w:rPr>
                <w:sz w:val="1"/>
                <w:szCs w:val="1"/>
                <w:color w:val="auto"/>
              </w:rPr>
            </w:pPr>
          </w:p>
        </w:tc>
      </w:tr>
      <w:tr>
        <w:trPr>
          <w:trHeight w:val="223"/>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Options due to recapitalization</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202,649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share-based awards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2,216,546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1,139,400</w:t>
            </w:r>
          </w:p>
        </w:tc>
        <w:tc>
          <w:tcPr>
            <w:tcW w:w="0" w:type="dxa"/>
            <w:vAlign w:val="bottom"/>
          </w:tcPr>
          <w:p>
            <w:pPr>
              <w:spacing w:after="0"/>
              <w:rPr>
                <w:sz w:val="1"/>
                <w:szCs w:val="1"/>
                <w:color w:val="auto"/>
              </w:rPr>
            </w:pPr>
          </w:p>
        </w:tc>
      </w:tr>
      <w:tr>
        <w:trPr>
          <w:trHeight w:val="20"/>
        </w:trPr>
        <w:tc>
          <w:tcPr>
            <w:tcW w:w="7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9"/>
              </w:rPr>
              <w:t>Aggregate fair value at grant dates (in millions), excluding additional options and SARs issued due to the</w:t>
            </w: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60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recapitalization</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6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405"/>
        </w:trPr>
        <w:tc>
          <w:tcPr>
            <w:tcW w:w="61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discussed in Note 2, the Company consummated a series of transactions as part of a recapitalization plan in the quarter ended March 31, 2007. The payment of a special dividend is a recapitalization or adjustment event under the Company’s share-based awards programs. As such, it was necessary to adjust the number of common shares subject to stock options and stock appreciation rights outstanding at the time of the dividend, as well as the price at which such awards may be exercised. The adjustments to the outstanding awards resulted in an increase in the number of common shares subject to outstanding stock options and stock appreciation rights awards in an aggregate amount of 1.1 million common shares. The methodology used to adjust the awards was consistent with IRS Code Section 409A and the then proposed regulations promulgated thereunder and IRC Section 424 and the regulations promulgated thereunder, compliance with which was necessary to avoid adverse tax issues for the holder of an award. Such methodology also resulted in a fair value for the adjusted awards post-dividend equal to that of the unadjusted awards pre-dividend, with the result that there is no additional compensation expense in accordance with the accounting for modifications to awards under SFAS 123(R), “Share-Based Payment.”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and the tax benefit recognized in compensation expense were as follows for the periods indicated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460" w:type="dxa"/>
            <w:vAlign w:val="bottom"/>
            <w:tcBorders>
              <w:bottom w:val="single" w:sz="8" w:color="auto"/>
            </w:tcBorders>
            <w:gridSpan w:val="2"/>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2640" w:type="dxa"/>
            <w:vAlign w:val="bottom"/>
            <w:tcBorders>
              <w:bottom w:val="single" w:sz="8" w:color="auto"/>
            </w:tcBorders>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JULY 1, 2006</w:t>
            </w:r>
          </w:p>
        </w:tc>
        <w:tc>
          <w:tcPr>
            <w:tcW w:w="5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2007</w:t>
            </w:r>
          </w:p>
        </w:tc>
        <w:tc>
          <w:tcPr>
            <w:tcW w:w="12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JULY 1, 2006</w:t>
            </w:r>
          </w:p>
        </w:tc>
        <w:tc>
          <w:tcPr>
            <w:tcW w:w="0" w:type="dxa"/>
            <w:vAlign w:val="bottom"/>
          </w:tcPr>
          <w:p>
            <w:pPr>
              <w:spacing w:after="0"/>
              <w:rPr>
                <w:sz w:val="1"/>
                <w:szCs w:val="1"/>
                <w:color w:val="auto"/>
              </w:rPr>
            </w:pPr>
          </w:p>
        </w:tc>
      </w:tr>
      <w:tr>
        <w:trPr>
          <w:trHeight w:val="191"/>
        </w:trPr>
        <w:tc>
          <w:tcPr>
            <w:tcW w:w="5820" w:type="dxa"/>
            <w:vAlign w:val="bottom"/>
            <w:vMerge w:val="continue"/>
          </w:tcPr>
          <w:p>
            <w:pPr>
              <w:spacing w:after="0"/>
              <w:rPr>
                <w:sz w:val="16"/>
                <w:szCs w:val="16"/>
                <w:color w:val="auto"/>
              </w:rPr>
            </w:pPr>
          </w:p>
        </w:tc>
        <w:tc>
          <w:tcPr>
            <w:tcW w:w="1260" w:type="dxa"/>
            <w:vAlign w:val="bottom"/>
          </w:tcPr>
          <w:p>
            <w:pPr>
              <w:jc w:val="right"/>
              <w:ind w:right="559"/>
              <w:spacing w:after="0" w:line="191" w:lineRule="exact"/>
              <w:rPr>
                <w:sz w:val="20"/>
                <w:szCs w:val="20"/>
                <w:color w:val="auto"/>
              </w:rPr>
            </w:pPr>
            <w:r>
              <w:rPr>
                <w:rFonts w:ascii="Times New Roman" w:cs="Times New Roman" w:eastAsia="Times New Roman" w:hAnsi="Times New Roman"/>
                <w:sz w:val="18"/>
                <w:szCs w:val="18"/>
                <w:color w:val="auto"/>
              </w:rPr>
              <w:t>$3.6</w:t>
            </w:r>
          </w:p>
        </w:tc>
        <w:tc>
          <w:tcPr>
            <w:tcW w:w="1200" w:type="dxa"/>
            <w:vAlign w:val="bottom"/>
          </w:tcPr>
          <w:p>
            <w:pPr>
              <w:jc w:val="right"/>
              <w:ind w:right="276"/>
              <w:spacing w:after="0" w:line="191" w:lineRule="exact"/>
              <w:rPr>
                <w:sz w:val="20"/>
                <w:szCs w:val="20"/>
                <w:color w:val="auto"/>
              </w:rPr>
            </w:pPr>
            <w:r>
              <w:rPr>
                <w:rFonts w:ascii="Times New Roman" w:cs="Times New Roman" w:eastAsia="Times New Roman" w:hAnsi="Times New Roman"/>
                <w:sz w:val="18"/>
                <w:szCs w:val="18"/>
                <w:color w:val="auto"/>
              </w:rPr>
              <w:t>$2.9</w:t>
            </w:r>
          </w:p>
        </w:tc>
        <w:tc>
          <w:tcPr>
            <w:tcW w:w="1860" w:type="dxa"/>
            <w:vAlign w:val="bottom"/>
            <w:gridSpan w:val="2"/>
          </w:tcPr>
          <w:p>
            <w:pPr>
              <w:jc w:val="right"/>
              <w:ind w:right="568"/>
              <w:spacing w:after="0" w:line="191" w:lineRule="exact"/>
              <w:rPr>
                <w:sz w:val="20"/>
                <w:szCs w:val="20"/>
                <w:color w:val="auto"/>
              </w:rPr>
            </w:pPr>
            <w:r>
              <w:rPr>
                <w:rFonts w:ascii="Times New Roman" w:cs="Times New Roman" w:eastAsia="Times New Roman" w:hAnsi="Times New Roman"/>
                <w:sz w:val="18"/>
                <w:szCs w:val="18"/>
                <w:color w:val="auto"/>
              </w:rPr>
              <w:t>$13.6</w:t>
            </w:r>
          </w:p>
        </w:tc>
        <w:tc>
          <w:tcPr>
            <w:tcW w:w="1280" w:type="dxa"/>
            <w:vAlign w:val="bottom"/>
          </w:tcPr>
          <w:p>
            <w:pPr>
              <w:jc w:val="right"/>
              <w:ind w:right="276"/>
              <w:spacing w:after="0" w:line="191"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Tax benefit recognized</w:t>
            </w: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1.1</w:t>
            </w:r>
          </w:p>
        </w:tc>
        <w:tc>
          <w:tcPr>
            <w:tcW w:w="186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4.8</w:t>
            </w:r>
          </w:p>
        </w:tc>
        <w:tc>
          <w:tcPr>
            <w:tcW w:w="12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CONTINGENCIES</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estimates.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1997, the Ohio EPA initiated an enforcement action against the Company with respect to alleged surface water violations and inadequate treatment capabilities at the Marysville, Ohio facility seeking corrective action under the federal Resource Conservation and Recovery Act. The action related to discharges from on-site waste water treatment and several discontinued on-site disposal areas. Pursuant to a Consent Order entered by the Union County Common Pleas Court in 2002, the Company is actively engaged in restoring the site to eliminate exposure to waste materials from the discontinued on-site disposal areas.</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June 30, 2007, $3.1 million was accrued for environmental and regulatory matters, primarily related to the Marysville facility. Most of the accrued costs are expected to be paid in fiscal 2007 and fiscal 2008;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72"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all significant sites that must be remediated have been identified;</w:t>
      </w:r>
    </w:p>
    <w:p>
      <w:pPr>
        <w:spacing w:after="0" w:line="13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there are no significant conditions of contamination that are unknown to us; and</w:t>
      </w:r>
    </w:p>
    <w:p>
      <w:pPr>
        <w:spacing w:after="0" w:line="130" w:lineRule="exact"/>
        <w:rPr>
          <w:rFonts w:ascii="Times New Roman" w:cs="Times New Roman" w:eastAsia="Times New Roman" w:hAnsi="Times New Roman"/>
          <w:sz w:val="18"/>
          <w:szCs w:val="18"/>
          <w:b w:val="1"/>
          <w:bCs w:val="1"/>
          <w:color w:val="auto"/>
        </w:rPr>
      </w:pPr>
    </w:p>
    <w:p>
      <w:pPr>
        <w:ind w:left="460" w:right="620" w:hanging="452"/>
        <w:spacing w:after="0" w:line="282" w:lineRule="auto"/>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with respect to the agreed judicial Consent Order in Ohio, potentially contaminated soil can be remediated in place rather than having to be removed and only specific stream segments will require remediation as opposed to the entire stream.</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youth sports organization forty bags of Scotts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LawnPro Annual Program Step 3 Insect Control Plus Fertilizer which, while federally registered, was allegedly not registered in the state of New York. The Proposed Order requests penalties totaling $695,000. The Company is currently investigating this matter.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Horticultural Supply, Inc. (F/K/A E.C. Geiger, Inc.)</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ended on March 8, 2007. The Company is currently engaged in expert discovery, the deadline for completion of which is October 19, 2007. The deadline for dispositive motions is November 19, 2007.</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intends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Geiger’s damages expert specified $3.3 million in alleged damages (which may be trebled under the antitrust statutes) and discovery has not yet concluded, any potential exposure that the Company may face cannot be reasonably estimated at this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generally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against them. It is not currently possible to reasonably estimate a probable loss, if any, associated with the cases and, accordingly, no accrual or reserves have been recorded in the consolidated financial statements. There can be no assurance that these cases, whether as a result of adverse outcomes or as a result of significant defense costs, will not have a material adverse effect on the Company’s financial condition result of operations, or cash flows.</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is reviewing agreements and policies that may provide insurance coverage or indemnity as to these claims and is pursuing coverage under some of these agreements, although there can be no assurance of the results of these efforts.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position or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ACQUISITIONS</w:t>
      </w:r>
    </w:p>
    <w:p>
      <w:pPr>
        <w:spacing w:after="0" w:line="1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continues to view strategic acquisitions as a means to enhance the core businesses. During fiscal 2006, the Company made the following acquisitions: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June 2006 — Certain brands and assets of Landmark Seed Company (professional seed and turfgrasses)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May 2006 — Certain brands and assets of Turf-Seed, Inc. (commercial turfgrasses)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November 2005 — All the outstanding shares of Gutwein &amp; Co., Inc. (wild bird food)</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October 2005 — All the outstanding shares of Rod McLellan Company (soil and landscape products).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acquisitions required cash outlays of $115.0 million, the assumption of $17.0 million in liabilities and deferred payments, and a commitment to pay in 2012 consideration based on future performance that may approximate $15.0 million.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continues to invest in the growth of the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The Company invested $8.3 million and $4.1 million in acquisitions during the first nine months of fiscal 2007 and 2006, respectively. Subsequent to June 30, 2007,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acquired the 15,000 customers and certain assets of two lawn care businesses operated by a franchisee in the vicinity of Long Island and Westchester County, New York. The total purchase price for the two businesses, including assumed liabilities, was $13.4 million.</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SEGMENT INFORMATION</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is divided into the following segments — North America,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International, and Corporate &amp; Other. This division of reportable segments is consistent with how the segments report to and are managed by the chief operating decision makers of the Company. 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Certain reclassifications were made to prior period amounts to reflect the inclusion of biotech costs and certain other items in the Corporate and Other segment instead of the North America segment to be consistent with fiscal 2007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20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gridSpan w:val="3"/>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660" w:type="dxa"/>
            <w:vAlign w:val="bottom"/>
          </w:tcPr>
          <w:p>
            <w:pPr>
              <w:spacing w:after="0"/>
              <w:rPr>
                <w:sz w:val="10"/>
                <w:szCs w:val="10"/>
                <w:color w:val="auto"/>
              </w:rPr>
            </w:pPr>
          </w:p>
        </w:tc>
        <w:tc>
          <w:tcPr>
            <w:tcW w:w="760" w:type="dxa"/>
            <w:vAlign w:val="bottom"/>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0" w:type="dxa"/>
            <w:vAlign w:val="bottom"/>
          </w:tcPr>
          <w:p>
            <w:pPr>
              <w:spacing w:after="0"/>
              <w:rPr>
                <w:sz w:val="10"/>
                <w:szCs w:val="10"/>
                <w:color w:val="auto"/>
              </w:rPr>
            </w:pPr>
          </w:p>
        </w:tc>
        <w:tc>
          <w:tcPr>
            <w:tcW w:w="680" w:type="dxa"/>
            <w:vAlign w:val="bottom"/>
            <w:gridSpan w:val="2"/>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MILLIONS)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6"/>
              </w:rPr>
              <w:t>MILLIONS)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vMerge w:val="continue"/>
          </w:tcPr>
          <w:p>
            <w:pPr>
              <w:spacing w:after="0"/>
              <w:rPr>
                <w:sz w:val="12"/>
                <w:szCs w:val="12"/>
                <w:color w:val="auto"/>
              </w:rPr>
            </w:pPr>
          </w:p>
        </w:tc>
        <w:tc>
          <w:tcPr>
            <w:tcW w:w="68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w w:val="78"/>
              </w:rPr>
              <w:t>(IN</w:t>
            </w:r>
          </w:p>
        </w:tc>
        <w:tc>
          <w:tcPr>
            <w:tcW w:w="680" w:type="dxa"/>
            <w:vAlign w:val="bottom"/>
            <w:gridSpan w:val="2"/>
            <w:vMerge w:val="continue"/>
          </w:tcPr>
          <w:p>
            <w:pPr>
              <w:spacing w:after="0"/>
              <w:rPr>
                <w:sz w:val="12"/>
                <w:szCs w:val="12"/>
                <w:color w:val="auto"/>
              </w:rPr>
            </w:pPr>
          </w:p>
        </w:tc>
        <w:tc>
          <w:tcPr>
            <w:tcW w:w="6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North America</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9"/>
              </w:rPr>
              <w:t>1,674.7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15"/>
                <w:szCs w:val="15"/>
                <w:color w:val="auto"/>
              </w:rPr>
              <w: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144.1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International</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406.1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Corporate &amp; Other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2,362.9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North America</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356.9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15"/>
                <w:szCs w:val="15"/>
                <w:color w:val="auto"/>
              </w:rPr>
              <w: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International</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48.3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Corporate &amp; Other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Segment total</w:t>
            </w: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amortization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Impairment of intangibles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Restructuring</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309.0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540" w:type="dxa"/>
            <w:vAlign w:val="bottom"/>
          </w:tcPr>
          <w:p>
            <w:pPr>
              <w:spacing w:after="0"/>
              <w:rPr>
                <w:sz w:val="15"/>
                <w:szCs w:val="15"/>
                <w:color w:val="auto"/>
              </w:rPr>
            </w:pPr>
          </w:p>
        </w:tc>
        <w:tc>
          <w:tcPr>
            <w:tcW w:w="6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5"/>
                <w:szCs w:val="15"/>
                <w:color w:val="auto"/>
              </w:rPr>
            </w:pPr>
          </w:p>
        </w:tc>
        <w:tc>
          <w:tcPr>
            <w:tcW w:w="6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$ 1,596.8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$ 1,574.5</w:t>
            </w:r>
          </w:p>
        </w:tc>
        <w:tc>
          <w:tcPr>
            <w:tcW w:w="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1,339.2</w:t>
            </w: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164.4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0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581.5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450.9</w:t>
            </w: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&amp; Other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226.1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265.9</w:t>
            </w:r>
          </w:p>
        </w:tc>
      </w:tr>
      <w:tr>
        <w:trPr>
          <w:trHeight w:val="223"/>
        </w:trPr>
        <w:tc>
          <w:tcPr>
            <w:tcW w:w="7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$ 2,618.9</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$ 2,546.5</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Segment operating income or loss represents earnings before amortization of intangible assets, interest and taxes, since this is the measure of profitability used by management. Accordingly, the Corporate &amp; Other operating loss for the three and nine month periods ended June 30, 2007 and July 1, 2006 includes unallocated corporate general and administrative expenses, and certain other income/expense items not allocated to the business segments.</w:t>
      </w:r>
    </w:p>
    <w:p>
      <w:pPr>
        <w:spacing w:after="0" w:line="68"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7"/>
          <w:szCs w:val="17"/>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assets.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(“MD&amp;A”) is organized in the following sections:</w:t>
      </w:r>
    </w:p>
    <w:p>
      <w:pPr>
        <w:spacing w:after="0" w:line="117"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summary</w:t>
      </w:r>
    </w:p>
    <w:p>
      <w:pPr>
        <w:spacing w:after="0" w:line="13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Results of operations</w:t>
      </w:r>
    </w:p>
    <w:p>
      <w:pPr>
        <w:spacing w:after="0" w:line="13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Segment results</w:t>
      </w:r>
    </w:p>
    <w:p>
      <w:pPr>
        <w:spacing w:after="0" w:line="13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non-selective herbicide products within the United States and other contractually specified countries. We entered the North America wild bird food category with the acquisition of Gutwein &amp; Co. Inc. (“Gutwein”) in November 2005 and the outdoor living category with the acquisition of Smith &amp; Hawken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October 2004. We have a presence in Australia, the Far East, Latin America and South America. Also, in the United States, we operate what we believe to be the second largest residential lawn service business,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fiscal 2007, our operations are divided into the following reportable segments: North America,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International, and Corporate &amp; Other. The Corporate &amp; Other segment consists of our Smith &amp; Hawken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and corporate general and administrative expenses.</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leading consumer branded lawn and garden company, we focus our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believe that we receive a significant return on these marketing expenditures. We expect to continue our marketing efforts focused toward the consumer and make additional targeted investments in consumer marketing in the future to continue to drive sales and market share growth.</w:t>
      </w:r>
    </w:p>
    <w:p>
      <w:pPr>
        <w:spacing w:after="0" w:line="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sales are susceptible to global weather conditions. For instance, periods of wet weather can adversely impact sales of certain products, while increasing demand for other products. We believe that our diversified product line provides some mitigation to this risk. We also believe that our broad geographic diversification further reduces this risk.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Percent Net Sales by Quarter</w:t>
            </w:r>
          </w:p>
        </w:tc>
        <w:tc>
          <w:tcPr>
            <w:tcW w:w="900" w:type="dxa"/>
            <w:vAlign w:val="bottom"/>
            <w:tcBorders>
              <w:bottom w:val="single" w:sz="8" w:color="auto"/>
            </w:tcBorders>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7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220" w:type="dxa"/>
            <w:vAlign w:val="bottom"/>
            <w:tcBorders>
              <w:bottom w:val="single" w:sz="8" w:color="auto"/>
            </w:tcBorders>
          </w:tcPr>
          <w:p>
            <w:pPr>
              <w:ind w:left="92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9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9.3%</w:t>
            </w:r>
          </w:p>
        </w:tc>
        <w:tc>
          <w:tcPr>
            <w:tcW w:w="2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33.6%</w:t>
            </w:r>
          </w:p>
        </w:tc>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34.3%</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38.9%</w:t>
            </w:r>
          </w:p>
        </w:tc>
        <w:tc>
          <w:tcPr>
            <w:tcW w:w="2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38.0%</w:t>
            </w: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38.2%</w:t>
            </w: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18.2%</w:t>
            </w:r>
          </w:p>
        </w:tc>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17.3%</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17.9%</w:t>
            </w:r>
          </w:p>
        </w:tc>
      </w:tr>
    </w:tbl>
    <w:p>
      <w:pPr>
        <w:spacing w:after="0" w:line="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Due to the nature of our lawn and garden business, significant portions of our shipments occur in the second and third fiscal quarters. Over the past few years, retailers have reduced their pre-season inventories as they have come to place greater reliance on our ability to deliver products “in season” when consumers buy our products.</w:t>
      </w:r>
    </w:p>
    <w:p>
      <w:pPr>
        <w:spacing w:after="0" w:line="6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Given the Company’s strong performance and consistent cash flows, our Board of Directors has undertaken several actions over the past two years to return cash to our shareholders. We began paying a quarterly cash dividend of 12.5 cents per share in the fourth quarter of fiscal 2005. In fiscal 2006, our Board launched a five-year $500 million share repurchase program pursuant to which we repurchased 2.0 million common shares for $87.9 million during fiscal 2006. Most recently, on December 12, 2006, the Company announced a recapitalization plan to return $750 million to the Company’s shareholders. This plan expanded and accelerated the previously announced five-year $500 million share repurchase program (which was canceled). Pursuant to the recapitalization plan, on February 14, 2007, the Company completed a modified “Dutch auction” tender offer, resulting in the repurchase of 4.5 million of the Company’s common shares for an aggregate purchase price of $245.5 million ($54.50 per share). On February 16, 2007, the Company’s Board of Directors declared a special one-time cash dividend of $8.00 per share ($508 million in the aggregate) which was paid on March 5, 2007, to shareholders of record on February 26, 2007.</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order to fund the recapitalization effective February 2007, the Company entered into new credit facilities aggregating $2.15 billion and terminated its prior credit facility. As part of this debt restructuring, the Company also conducted a cash tender offer for all of its outstanding 6 5/8% senior subordinated notes in an aggregate principal amount of $200 million. Reference should be made to Note 6 to the accompanying condensed, consolidated financial statements for further information as to the new credit facilities and the repayment and termination of the prior credit facility and the 6 5/8% senior subordinated notes.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actions described above reflect management’s confidence in the continued growth of the Company coupled with strong and consistent cash flows that can support the higher levels of debt incurred to finance these actions. Even with an increase in borrowings, we believe we will maintain the capacity to pursue targeted, strategic acquisitions that leverage our core competencies.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income and expense as a percentage of net sales for the three and nine-month periods ended June 30, 2007 and July 1, 2006: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880" w:type="dxa"/>
            <w:vAlign w:val="bottom"/>
            <w:gridSpan w:val="5"/>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2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500" w:type="dxa"/>
            <w:vAlign w:val="bottom"/>
          </w:tcPr>
          <w:p>
            <w:pPr>
              <w:spacing w:after="0"/>
              <w:rPr>
                <w:sz w:val="10"/>
                <w:szCs w:val="10"/>
                <w:color w:val="auto"/>
              </w:rPr>
            </w:pPr>
          </w:p>
        </w:tc>
        <w:tc>
          <w:tcPr>
            <w:tcW w:w="1840" w:type="dxa"/>
            <w:vAlign w:val="bottom"/>
            <w:gridSpan w:val="5"/>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0" w:type="dxa"/>
            <w:vAlign w:val="bottom"/>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72"/>
              </w:rPr>
              <w:t>(UNAUDITED)</w:t>
            </w:r>
          </w:p>
        </w:tc>
        <w:tc>
          <w:tcPr>
            <w:tcW w:w="2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72"/>
              </w:rPr>
              <w:t>(UNAUDITED)</w:t>
            </w:r>
          </w:p>
        </w:tc>
        <w:tc>
          <w:tcPr>
            <w:tcW w:w="2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5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64.2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38.7</w:t>
            </w:r>
          </w:p>
        </w:tc>
        <w:tc>
          <w:tcPr>
            <w:tcW w:w="15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17.1</w:t>
            </w:r>
          </w:p>
        </w:tc>
        <w:tc>
          <w:tcPr>
            <w:tcW w:w="15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320" w:type="dxa"/>
            <w:vAlign w:val="bottom"/>
          </w:tcPr>
          <w:p>
            <w:pPr>
              <w:spacing w:after="0"/>
              <w:rPr>
                <w:sz w:val="18"/>
                <w:szCs w:val="18"/>
                <w:color w:val="auto"/>
              </w:rPr>
            </w:pPr>
          </w:p>
        </w:tc>
        <w:tc>
          <w:tcPr>
            <w:tcW w:w="156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5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32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20.6</w:t>
            </w:r>
          </w:p>
        </w:tc>
        <w:tc>
          <w:tcPr>
            <w:tcW w:w="15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15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sales for the third quarter and first nine months of fiscal 2007 grew 4.8% and 7.2% respectively, versus the comparable periods of fiscal 2006. Foreign exchange rates favorably impacted sales growth rates for the third quarter and first nine months by 120 basis points and 170 basis points, respectively. Recent acquisitions favorably impacted sales growth for the third quarter by 0.7% and for the first nine months by 1.8%. Excluding acquisitions and foreign exchange, sales for the quarter and first nine months increased $30.8 million or 2.9% and $82.0 million or 3.7%, respectively. The quarter and year-to-date net sales in our North America segment were adversely affected by challenging weather conditions in the month of April that were not recovered in the May and June timeframe. Our international segment and Smith &amp; Hawken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continued their strong fiscal 2007 sales trend in the quarter. While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continues to have strong revenue growth, fiscal 2007 customer count growth has been below expectations, which we believe is attributable to a number of factors including the effects of poor weather in April and broader economic conditions.</w:t>
      </w:r>
    </w:p>
    <w:p>
      <w:pPr>
        <w:spacing w:after="0" w:line="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percentage of net sales, gross profit was 38.5% of net sales in the third quarter of fiscal 2007 compared to 38.7% in the third quarter of fiscal 2006. For the first nine months of fiscal 2007, our gross profit percentage declined to 35.8% from 36.5% in the comparable period of fiscal 2006. Most of the fiscal 2007 margin decrease was anticipated and is being driven by a combination of costs, acquisitions, and mix. Commodity costs continue to be volatile and have generally increased over the course of the year. These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increases were planned for, with a variety of actions taken to mitigate the effects, including increasing prices of our products to offset the impact of input cost increases. Other actions include hedging, opportunistic purchasing, and flexible production schedules. Fiscal 2006 strategic acquisitions in the wild bird food category in the first quarter and in the professional turfgrass and grass seed market in the third quarter are dilutive to our overall gross margin rates. Finally, product mix is having a dilutive effect as we are growing relatively less profitable categories, such as growing media and wild bird food, faster than other categories. Margin rates are receiving focus across the Company, although it is difficult to materially influence them in the short term. Plans being finalized for fiscal 2008 in the areas of innovation and pricing are geared toward reversing the gross margin rate declines we have experienced over the past three fiscal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5"/>
                <w:szCs w:val="15"/>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1"/>
              </w:rPr>
              <w:t>MILLIONS)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78"/>
              </w:rPr>
              <w:t>MILLIONS)</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61.7</w:t>
            </w:r>
          </w:p>
        </w:tc>
        <w:tc>
          <w:tcPr>
            <w:tcW w:w="5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125.4</w:t>
            </w:r>
          </w:p>
        </w:tc>
        <w:tc>
          <w:tcPr>
            <w:tcW w:w="5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407.5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compared to the same periods in fiscal 2006, advertising expenses increased $10.8 million to $61.7 million in the third quarter and $10.0 million to</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$125.4 million for the first nine months of fiscal 2007. The bulk of this increase occurred in our North America segment, in part, due to higher investments in media spending to drive sales growth after the slow start to the season. While we believe this spending helped us maintain or improve our market share in most categories, the additional investment in media did not generate adequate incremental sales to compensate for our disappointing April.</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SG&amp;A expenses increased $8.7 million to $133.3 million in the third quarter and $45.1 million to $407.5 million for the first nine months of fiscal 2007 versus the comparable period in fiscal 2006. Other SG&amp;A expenses for the first nine months of fiscal 2006 reflect a $10.1 million benefit from an insurance recovery relating to past legal costs incurred in our defense of lawsuits regarding our use of vermiculite allegedly contaminated with asbestos. Increases in Other SG&amp;A spending occurred in our rapidly expanding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in the amount of $3.7 million for the third quarter and $11.6 million for the first nine months. Increased investments in innovation, marketing and selling efforts were partially offset by lower management incentives. Other SG&amp;A expense increases of $1.9 million and $6.7 million in for the third quarter and year-to-date period, respectively, were due to foreign exchange.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Restructuring and Other Charges,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81"/>
              </w:rPr>
              <w:t>MILLIONS)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78"/>
              </w:rPr>
              <w:t>MILLIONS)</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w w:val="84"/>
              </w:rPr>
              <w:t>(IN</w:t>
            </w: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w w:val="84"/>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 severance and related</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historically has conducted its annual impairment review of indefinite-lived tradenames and goodwill during its first fiscal quarter. The impairment analysis for the first quarter of fiscal 2007 indicated that no impairment charges were required. The $1.0 million charge recorded in the first quarter of fiscal 2006 related to a tradename written off in the United Kingdom. Restructuring activities during fiscal 2006 related to further organizational adjustments associated with Project Excellence initiated in the third quarter of fiscal 2005.</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third quarter of fiscal 2007, the Company changed the timing of its annual goodwill impairment testing from the last day of our fiscal first quarter to the first day of our fiscal fourth quarter. As such, we performed the annual impairment test as of December 30, 2006 and we will perform the test again as of July 1, 2007. This accounting is preferable in the circumstances as moving the timing of our annual goodwill impairment testing better aligns with the seasonal nature of our business and the timing of our annual strategic planning process. The Company believes that this change in accounting principle will not delay, accelerate, or avoid an impairment charge. In addition, the Company also changed the date of its annual indefinite life intangible impairment testing to the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first day of our fiscal fourth quarter, July 1, 2007 for the current year. The Company determined that the change in accounting principle related to the annual testing date does not result in adjustments to the financial statements applied retrospectively.</w:t>
      </w:r>
    </w:p>
    <w:p>
      <w:pPr>
        <w:spacing w:after="0" w:line="5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Interest expense for the third quarter and first nine months of fiscal 2007 was $26.2 million and $52.3 million, respectively, compared to $13.2 million and $32.8 million for the third quarter and first nine months of fiscal 2006. These increases in interest expense are attributable to an increase in borrowings resulting from the recapitalization transactions that were consummated during the second quarter of fiscal 2007, coupled with an increase in our weighted average interest rate resulting from our increased leverage and higher LIBOR rates in general. Average borrowings increased $702.0 million and</w:t>
      </w:r>
    </w:p>
    <w:p>
      <w:pPr>
        <w:spacing w:after="0" w:line="3"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$313.0 million during the third quarter and first nine months of fiscal 2007, respectively, as compared to the prior year periods. For both the quarter and the first nine months, weighted average interest rates increased by 80 basis points. We also recorded $18.3 million in costs related to the refinancing undertaken to facilitate the recapitalization transactions.</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Income tax expense was calculated assuming an effective tax rate of 35.5% for fiscal 2007, versus 38.0% for fiscal 2006.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Diluted average common shares used in the diluted net income per common share calculation decreased from 69.4 million for the quarter and 69.7 million for the nine months ended July 1, 2006 to 65.4 million for the quarter and 67.5 million for the nine months ended June 30, 2007. These decreases are attributable to the 4.5 million common shares repurchased as part of the recapitalization consummated during the second quarter of fiscal 2007, weighted for the period outstanding, and offset by common shares issued upon the exercise of share-based awards and the vesting of restricted stock. Diluted average common shares also include 1.8 million and 1.9 million equivalent shares for the quarter and year-to-date periods, respectively, in fiscal 2007 to reflect the effect of the assumed conversion of dilutive options and SARs and the vesting of restricted common share awards. Equivalent common shares used in fiscal 2006 were 1.9 million for the third quarter and 2.0 million for the year-to-date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RESULTS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Consistent with fiscal 2006, our fiscal 2007 operations are divided into the following reportable segments: North America (including Morning Song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International, and Corporate &amp; Other. The Corporate &amp; Other segment consists of Smith &amp; Hawken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corporate general and administrative expenses.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66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Pr>
          <w:p>
            <w:pPr>
              <w:spacing w:after="0"/>
              <w:rPr>
                <w:sz w:val="15"/>
                <w:szCs w:val="15"/>
                <w:color w:val="auto"/>
              </w:rPr>
            </w:pPr>
          </w:p>
        </w:tc>
        <w:tc>
          <w:tcPr>
            <w:tcW w:w="102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70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w w:val="87"/>
              </w:rPr>
              <w:t>MILLIONS)</w:t>
            </w:r>
          </w:p>
        </w:tc>
        <w:tc>
          <w:tcPr>
            <w:tcW w:w="680" w:type="dxa"/>
            <w:vAlign w:val="bottom"/>
            <w:tcBorders>
              <w:top w:val="single" w:sz="8" w:color="auto"/>
            </w:tcBorders>
            <w:gridSpan w:val="2"/>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Borders>
              <w:top w:val="single" w:sz="8" w:color="auto"/>
            </w:tcBorders>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w w:val="84"/>
              </w:rPr>
              <w:t>(IN</w:t>
            </w:r>
          </w:p>
        </w:tc>
        <w:tc>
          <w:tcPr>
            <w:tcW w:w="6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w w:val="84"/>
              </w:rPr>
              <w:t>MILLIONS)</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783.2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770.3</w:t>
            </w:r>
          </w:p>
        </w:tc>
        <w:tc>
          <w:tcPr>
            <w:tcW w:w="10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97"/>
              </w:rPr>
              <w:t>$ 1,674.7</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$ 1,596.5</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15"/>
                <w:szCs w:val="15"/>
                <w:color w:val="auto"/>
              </w:rPr>
              <w:t>®</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auto"/>
              </w:rPr>
              <w:t>84.6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75.3</w:t>
            </w:r>
          </w:p>
        </w:tc>
        <w:tc>
          <w:tcPr>
            <w:tcW w:w="102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auto"/>
              </w:rPr>
              <w:t>144.1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167.2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144.5</w:t>
            </w:r>
          </w:p>
        </w:tc>
        <w:tc>
          <w:tcPr>
            <w:tcW w:w="10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406.1</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660" w:type="dxa"/>
            <w:vAlign w:val="bottom"/>
          </w:tcPr>
          <w:p>
            <w:pPr>
              <w:spacing w:after="0"/>
              <w:rPr>
                <w:sz w:val="18"/>
                <w:szCs w:val="18"/>
                <w:color w:val="auto"/>
              </w:rPr>
            </w:pPr>
          </w:p>
        </w:tc>
        <w:tc>
          <w:tcPr>
            <w:tcW w:w="102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auto"/>
              </w:rPr>
              <w:t>138.0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1,098.4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1,048.0</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97"/>
              </w:rPr>
              <w:t>$ 2,362.9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$ 2,205.0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4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operating income by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4"/>
          </w:tcPr>
          <w:p>
            <w:pPr>
              <w:jc w:val="right"/>
              <w:ind w:right="36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2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5"/>
                <w:szCs w:val="15"/>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1"/>
              </w:rPr>
              <w:t>MILLIONS)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78"/>
              </w:rPr>
              <w:t>MILLIONS)</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196.9</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356.9</w:t>
            </w:r>
          </w:p>
        </w:tc>
        <w:tc>
          <w:tcPr>
            <w:tcW w:w="5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Scotts LawnService</w:t>
            </w: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321.1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North America segment net sales were $783.2 million in the quarter and $1.67 billion for the first nine months of fiscal 2007, an increase of 1.7% and 4.9% from the quarter and first nine months of fiscal 2006, respectively. Excluding the impact of acquisitions, North America sales increased 1.0% and 2.6% for the quarter and first nine months of fiscal 2007, respectively. On a volume basis, sales were down 0.7% for the quarter and up 0.7% for the year-to-date period versus the fiscal 2006 comparable periods. Pricing served to increase sales for the third quarter by 1.5% and 1.7% for the year-to-date period versus the fiscal 2006 comparable periods. We believe inclement weather during the month of April was the primary contributor to a 19% decline in consumer purchases versus April of fiscal 2006, a decline that could not be recovered during the balance of the third quarter despite growth rates of 10% for the May to June period. Overall, consumer purchases for the quarter were down 1.0%, resulting in a year-to-date increase of 3.3%.</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following details sales performance by major category for fiscal 2007. Lawn fertilizer sales decreased by 8.8% in the quarter, primarily due to unfavorable weather conditions in the critical April selling period, resulting in flat sales on a year-to-date basis. From point of sale perspective (based on data supplied by our three largest North America customers), consumer purchases of lawn fertilizers were down 9% in the quarter and were flat for the nine months. In contrast, growing media sales increased 10.9% in the quarter and 12.0% year-to-date. This strong performance in growing media reflects strong consumer acceptance of our premium, value-added products, which we believe show potential for continued strong, sustainable growth. Consumer purchases of our growing media products increased 13.5% in the quarter and 15% year-to-date. Plant foods sales were down 2.0% for the quarter and down 3.9% year-to-date, while consumer purchases of plant foods were flat during the quarter and up 1.3% year-to-date. The comparative performance for plant foods reflects the successful launch of Miracle-Gro LiquaFeed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fiscal 2006 and the initial pipeline fill coupled with strong promotional activity. We continue to see good consumer demand for LiquaFeed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refills, and remain bullish on the long-term prospects for the overall plant food category. Ortho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sales were down 1.0% for the quarter but up 3.9% for the nine months. Consumer purchases of Ortho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branded products increased 2.7% for the year-to-date period, with weed control products up 6.5% offset by flat performance of pest and disease control products.</w:t>
      </w:r>
    </w:p>
    <w:p>
      <w:pPr>
        <w:spacing w:after="0" w:line="8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Gross margin rates for the quarter and year-to-date periods decreased by approximately 70 and 90 basis points versus the comparable fiscal 2006 periods. Price increases during the last two years were designed to cover only cost increases, contributing to the decline in the gross margin rate. In addition, a sales mix that includes an increasing percentage of lower margin growing media and wild bird food products has put downward pressure on margins.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income generated by the North America segment decreased by $11.1 million and $6.2 million in the quarter and first nine months of fiscal 2007. In response to the unseasonable early April weather, we extended an already aggressive spring media campaign. While we believe this incremental media campaign was beneficial, it did not generate sufficient incremental sales to offset the impact of the unseasonable April weather. Overall, selling, general, and administrative costs increased by 12.8% in the quarter and 9.3% in the year-to-date period versus fiscal 2006. Part of this increase was planned, most notably in marketing and R&amp;D spending, while increases in media spending exceeded our plan. The combination of these factors led to the decline in operating income.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Scotts LawnService</w:t>
      </w:r>
      <w:r>
        <w:rPr>
          <w:rFonts w:ascii="Times New Roman" w:cs="Times New Roman" w:eastAsia="Times New Roman" w:hAnsi="Times New Roman"/>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same periods in the prior fiscal year,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revenues increased 12.4% to $84.6 million in the third quarter and 12.0% to</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$144.1 million in the first nine months of fiscal 2007. Revenue growth for the third quarter and year-to-date periods is primarily attributable to a 10% increase in average customer count, with the remainder due to mix improvement (more premium services and full programs). The increase in sales and the 10% increase in customer count in fiscal 2007 are lower than we expected. We believe the extended cold weather from mid-February through mid-April had a significant impact on the realized rate of growth. We further believe that relative to our core business, our service segment is more sensitive to the impact of broader economic factors on consumer spending.</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income for this segment increased to $21.5 million for the quarter, while the operating loss increased to $11.6 million for the year-to-date period versus fiscal 2006. The increase in operating income for the quarter was driven by improved labor productivity, offsetting higher fertilizer and fuel costs, which is particularly encouraging given the productivity pressures weather placed on the business early in the quarter. The increase in the operating loss for the first nine months of fiscal 2007 is primarily attributable to higher planned SG&amp;A spending to support higher volume and continued service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sales for the International segment increased to $167.2 million or 15.7% for the third quarter and $406.1 million or 15.0% for the first nine months of fiscal 2007. Excluding the effect of exchange rates, net sales increased 8.0% and 5.5% for the third quarter and first nine months of fiscal 2007.</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France and the International Professional business performed strongest, benefiting from a more balanced product portfolio, innovation and reasonable weather. Sales growth in the United Kingdom was less robust due to a more aggressive competitive environment, recent extreme weather, and a product portfolio more dependent on lawn fertilizers. From a product category perspective, plant foods and growing media are leading the group, reflecting the launch of LiquaFeed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an aggressive focus on replicating the successful soils strategy employed by the North America segment.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Gross margin rates for the quarter and year-to-date period were in line with our expectations, though down 60 basis points in each period, from fiscal 2006. As we have focused heavily on building our European growing media business, we have seen gross margin pressure from product mix. Partially offsetting the pressures on gross margin from product mix has been savings from globalization of the supply chain, which is driving other benefits, including improved service levels and increased inventory turns.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International SG&amp;A remains under tight control with only marginal increases in fiscal 2007. Operating income was up 13.8% in the quarter and 17.5% on a year-to-date basis, or 7.0% and 7.9% respectively, excluding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&amp; Other</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sales for this segment increased to $63.4 million or 9.5% for the quarter and to $138.0 million or 8.8% year to date, driven primarily by our Smith &amp; Hawken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We are pleased with the progress in this business, primarily in the retail, trade and wholesale channels. Within retail, third quarter comparative store sales were up 13%, and year-to-date comparatives were up 6%. Two areas where the business has fallen short of plan are in the direct-to-consumer channel, particularly catalogs, and in gross margin rates partially due to a conscious decision to increase markdowns on slow-moving inventory. These two factors will prevent us from generating the type of bottom line improvement we had hoped for, though our current forecast still suggests that Smith &amp; Hawken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will reduce its losses from last year.</w:t>
      </w:r>
    </w:p>
    <w:p>
      <w:pPr>
        <w:spacing w:after="0" w:line="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operating loss for Corporate &amp; Other decreased by $2.3 million in the quarter and increased by $9.5 million for the first nine months of fiscal 2007. The increase in the year-to-date loss is primarily attributable to an insurance recovery relating to past legal costs incurred in our defense of lawsuits regarding our use of vermiculite allegedly contaminated with asbestos. The insurance recovery positively impacted SG&amp;A expenses in the amount of $10.1 million for the first nine months of fiscal 2006.</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11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increased to $62.2 million for the nine months ended June 30, 2007 versus $4.1 million for the comparable period in fiscal 2006. The increased level of operating cash flow in fiscal 2007 versus the prior year is due largely to lower spending on inventory during fiscal 2007 due to the carryover of the inventory build that occurred in the fourth quarter of fiscal 2006.</w:t>
      </w:r>
    </w:p>
    <w:p>
      <w:pPr>
        <w:spacing w:after="0" w:line="68"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Cash used in investing activities was $43.8 million and $155.9 million for the nine months ended June 30, 2007 and July 1, 2006, respectively. Our acquisitions of Gutwein and the Rod McLellan Company required a net cash outlay of approximately $98.0 million in the first quarter of 2006, which was financed with borrowings under our then existing lines of credit. Acquisition activity in the first nine months of fiscal 2007 was insignificant, with</w:t>
      </w:r>
    </w:p>
    <w:p>
      <w:pPr>
        <w:ind w:right="20"/>
        <w:spacing w:after="0" w:line="256" w:lineRule="auto"/>
        <w:rPr>
          <w:sz w:val="20"/>
          <w:szCs w:val="20"/>
          <w:color w:val="auto"/>
        </w:rPr>
      </w:pPr>
      <w:r>
        <w:rPr>
          <w:rFonts w:ascii="Times New Roman" w:cs="Times New Roman" w:eastAsia="Times New Roman" w:hAnsi="Times New Roman"/>
          <w:sz w:val="18"/>
          <w:szCs w:val="18"/>
          <w:color w:val="auto"/>
        </w:rPr>
        <w:t>$6.5 million spent on acquisitions relating to our Scotts LawnService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business. Other capital spending on property, plant and equipment done in the normal course of business was fairly consistent, with $37.8 million spent during the first nine months of fiscal 2007 as compared to the $36.6 million spent in the first nine months of fiscal 2006.</w:t>
      </w:r>
    </w:p>
    <w:p>
      <w:pPr>
        <w:spacing w:after="0" w:line="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$0.4 million for the nine months ended June 30, 2007, while financing activities provided cash of $129.9 million for the nine months ended July 1, 2006. The higher financing needs in the first nine months of fiscal 2006 versus fiscal 2007 were necessary to finance higher inventory levels and acquisitions.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recapitalization plan that was consummated during the second quarter of fiscal 2007 returned $750 million to shareholders. In addition, we repurchased all of our 6 5/8% senior subordinated notes in an aggregate principal amount of $200 million. These actions were financed by replacing, effective February 7, 2007, our prior Revolving Credit Agreement with new senior secured $2.15 billion multicurrency credit facilities that provide for revolving credit and term loans through February 7, 2012.</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of fiscal 2007, we entered into a Master Accounts Receivable Purchase Agreement (the “MARP Agreement”) with two banks with a stated termination date of April 10, 2008, as permitted under our credit facilities. The MARP Agreement was entered into as it provides an interest rate savings of 60 basis points as compared to borrowing under our new senior secured credit facilities. The MARP Agreement provides for the sale, on a revolving basis, of account receivables generated by specified account debtors, with seasonally adjusted monthly aggregate limits ranging from $55 million to $300 million. The MARP Agreement also provides for specified account debtor sublimit amounts, which provide limits on the amount of receivables owed by individual account debtors that can be sold to the banks. Borrowings under the MARP Agreement at June 30, 2007 were $222.6 million.</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June 30, 2007, the Company had outstanding interest rate swaps with major financial institutions that effectively converted a portion of our variable-rate debt denominated in the Euro dollar, British pound and U.S. dollar to a fixed rate. The swap agreements have a total U.S. dollar equivalent notional amount of $713.9 million. The term, expiration date and rates of these swaps are shown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 IN</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pound</w:t>
            </w:r>
          </w:p>
        </w:tc>
        <w:tc>
          <w:tcPr>
            <w:tcW w:w="7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56.7</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years</w:t>
            </w:r>
          </w:p>
        </w:tc>
        <w:tc>
          <w:tcPr>
            <w:tcW w:w="2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11/17/2008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Euro dollar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57.2</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years</w:t>
            </w:r>
          </w:p>
        </w:tc>
        <w:tc>
          <w:tcPr>
            <w:tcW w:w="2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11/17/2008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 years</w:t>
            </w:r>
          </w:p>
        </w:tc>
        <w:tc>
          <w:tcPr>
            <w:tcW w:w="2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3/31/2009</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dollar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years</w:t>
            </w:r>
          </w:p>
        </w:tc>
        <w:tc>
          <w:tcPr>
            <w:tcW w:w="2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3/31/2010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 years</w:t>
            </w:r>
          </w:p>
        </w:tc>
        <w:tc>
          <w:tcPr>
            <w:tcW w:w="2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2/14/2012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June 30, 2007, there was $1.1 billion of availability under our credit facilities and we were in compliance with all debt covenants. Our primary sources of liquidity are cash generated by operations and borrowings under our credit facilities. We believe our new facilities will continue to provide the Company with the capacity to pursue targeted, strategic acquisitions that leverage our core competencies.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effect on our liquidity, financial condition or results of operations; however, there can be no assurance that future quarterly or annual operating results will not be materially affected by final resolution of these matters.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our opinion, cash flows from operations and capital resources will be sufficient to meet debt service, working capital, capital expenditure, and dividend payment needs during fiscal 2007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results of operations, financial condition or cash flows. Additional information on environmental matters affecting us is provided in the fiscal 2006 Annual Report on Form 10-K under “ITEM 1. BUSINESS — Environmental and Regulatory Considerations,” “ITEM 1. BUSINESS — Regulatory Actions” and “ITEM 3. 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2006 includes additional information about the Company, our operations, our financial position, our critical accounting policies and accounting estimates, and should be read in conjunction with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Market risks have not changed significantly from those disclosed in the Company’s Annual Report on Form 10-K for the fiscal year ended September 30, 2006.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 the participation of the Company’s principal executive officer and principal financial officer, the Company’s management has evaluated the effectiveness of the Company’s disclosure controls and procedures (as defined in Rule 13a-15(e) under the Securities Exchange Act of 1934, as amended (the “Exchange Act”), as of the end of the fiscal quarter covered by this Quarterly Report on Form 10-Q. Based upon that evaluation, the Company’s principal executive officer and principal financial officer have concluded that:</w:t>
      </w:r>
    </w:p>
    <w:p>
      <w:pPr>
        <w:spacing w:after="0" w:line="72" w:lineRule="exact"/>
        <w:rPr>
          <w:sz w:val="20"/>
          <w:szCs w:val="20"/>
          <w:color w:val="auto"/>
        </w:rPr>
      </w:pPr>
    </w:p>
    <w:p>
      <w:pPr>
        <w:ind w:left="660" w:right="60" w:hanging="436"/>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this Quarterly Report on Form 10-Q and the other reports that the Company files or submits under the Exchange Act would be accumulated and communicated to the Company’s management, including its principal executive officer and principal financial officer, as appropriate to allow timely decisions regarding required disclosure;</w:t>
      </w:r>
    </w:p>
    <w:p>
      <w:pPr>
        <w:spacing w:after="0" w:line="81"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this Quarterly Report on Form 10-Q and the other reports that the Company files or submits under the Exchange Act would be recorded, processed, summarized, and reported within the time periods specified in the SEC’s rules and forms; and</w:t>
      </w:r>
    </w:p>
    <w:p>
      <w:pPr>
        <w:spacing w:after="0" w:line="8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disclosure controls and procedures are effective as of the end of the fiscal quarter covered by this Quarterly Report on Form 10-Q.</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there were no changes in the Company’s internal control over financial reporting (as defined in Rule 13a-15(f) under the Exchange Act) that occurred during the Company’s fiscal quarter ended June 30, 2007, that have materially affected, or are reasonably likely to materially affect, the Company’s internal control over financial reporting.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material legal proceedings have not changed significantly since the second quarter of fiscal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Statement on Forward-Looking Statements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Part I, “Item 1A. Risk Factors” in our Annual Report on Form 10-K for the fiscal year ended September 30, 2006. All forward-looking statements attributable to us or persons working on our behalf are expressly qualified in their entirety by those cautionary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equity securities were purchased during the quarter ended June 30,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at page 28 for a list of the exhibits included herewith.</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2007</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David C. Evans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THE SCOTTS MIRACLE-GRO COMPANY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8"/>
              </w:rPr>
              <w:t>QUARTERLY REPORT ON FORM 10-Q</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w w:val="99"/>
              </w:rPr>
              <w:t>FOR THE QUARTERLY PERIOD ENDED JUNE 30, 2007</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INDEX TO EXHIBITS</w:t>
            </w:r>
          </w:p>
        </w:tc>
      </w:tr>
      <w:tr>
        <w:trPr>
          <w:trHeight w:val="36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Pr>
          <w:p>
            <w:pPr>
              <w:spacing w:after="0"/>
              <w:rPr>
                <w:sz w:val="24"/>
                <w:szCs w:val="24"/>
                <w:color w:val="auto"/>
              </w:rPr>
            </w:pPr>
          </w:p>
        </w:tc>
        <w:tc>
          <w:tcPr>
            <w:tcW w:w="800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07"/>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dated as of April 10, 2007, to the Amended and Restated Credit Agreement, dated as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February 7, 2007, by and among The Scotts Miracle-Gro Company as the “Borrower”; the Subsidiary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Borrowers (as defined in the Amended and Restated Credit Agreement); the several banks and other financial</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institutions from time to time parties to the Amended and Restated Credit Agreement; the Syndication Agent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and the Documentation Agents named in the Amended and Restated Credit Agreement and JPMorgan Chase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Bank, N.A., as Administrative Agent</w:t>
            </w:r>
          </w:p>
        </w:tc>
      </w:tr>
      <w:tr>
        <w:trPr>
          <w:trHeight w:val="41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Master Accounts Receivable Purchase Agreement, dated as of April 11, 2007, by and among The Scotts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Company LLC as seller, The Scotts Miracle-Gro Company as guarantor and LaSalle Bank National</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purchaser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herein by</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7"/>
          <w:szCs w:val="17"/>
          <w:color w:val="auto"/>
        </w:rPr>
        <w:t>reference to the Registrant’s Current Report on Form 10-Q for the quarterly period ended June 30, 2007 (File No. 1-13292) [Exhibit 4(b)]</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herein by</w:t>
      </w:r>
    </w:p>
    <w:p>
      <w:pPr>
        <w:spacing w:after="0" w:line="27" w:lineRule="exact"/>
        <w:rPr>
          <w:sz w:val="20"/>
          <w:szCs w:val="20"/>
          <w:color w:val="auto"/>
        </w:rPr>
      </w:pPr>
    </w:p>
    <w:p>
      <w:pPr>
        <w:jc w:val="both"/>
        <w:ind w:firstLine="1"/>
        <w:spacing w:after="0" w:line="273" w:lineRule="auto"/>
        <w:rPr>
          <w:sz w:val="20"/>
          <w:szCs w:val="20"/>
          <w:color w:val="auto"/>
        </w:rPr>
      </w:pPr>
      <w:r>
        <w:rPr>
          <w:rFonts w:ascii="Times New Roman" w:cs="Times New Roman" w:eastAsia="Times New Roman" w:hAnsi="Times New Roman"/>
          <w:sz w:val="17"/>
          <w:szCs w:val="17"/>
          <w:color w:val="auto"/>
        </w:rPr>
        <w:t>reference to the Registrant’s Current Report on Form 8-K filed April 17, 2007 (File No. 1-13292) [Exhibit 10.1]</w:t>
      </w:r>
    </w:p>
    <w:p>
      <w:pPr>
        <w:spacing w:after="0" w:line="173" w:lineRule="exact"/>
        <w:rPr>
          <w:sz w:val="20"/>
          <w:szCs w:val="20"/>
          <w:color w:val="auto"/>
        </w:rPr>
      </w:pPr>
    </w:p>
    <w:p>
      <w:pPr>
        <w:sectPr>
          <w:pgSz w:w="11900" w:h="16838" w:orient="portrait"/>
          <w:cols w:equalWidth="0" w:num="2">
            <w:col w:w="9160" w:space="220"/>
            <w:col w:w="2020"/>
          </w:cols>
          <w:pgMar w:left="240" w:top="415" w:right="259" w:bottom="1440" w:gutter="0" w:footer="0" w:header="0"/>
        </w:sectPr>
      </w:pPr>
    </w:p>
    <w:tbl>
      <w:tblPr>
        <w:tblLayout w:type="fixed"/>
        <w:tblInd w:w="280" w:type="dxa"/>
        <w:tblCellMar>
          <w:top w:w="0" w:type="dxa"/>
          <w:left w:w="0" w:type="dxa"/>
          <w:bottom w:w="0" w:type="dxa"/>
          <w:right w:w="0" w:type="dxa"/>
        </w:tblCellMar>
      </w:tblPr>
      <w:tr>
        <w:trPr>
          <w:trHeight w:val="234"/>
        </w:trPr>
        <w:tc>
          <w:tcPr>
            <w:tcW w:w="6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18</w:t>
            </w: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Letter from Independent Public Accounting Firm</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31(a)</w:t>
            </w: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Certification (Principal Executive Officer)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31(b)</w:t>
            </w: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Certification (Principal Financial Officer)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32</w:t>
            </w: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1350 Certification (Principal Executive Officer and Principal Financial Officer)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15" w:right="25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06525"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0652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Deloitte &amp; Touche LLP</w:t>
      </w:r>
    </w:p>
    <w:p>
      <w:pPr>
        <w:spacing w:after="0" w:line="3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155 East Broad Street</w:t>
      </w:r>
    </w:p>
    <w:p>
      <w:pPr>
        <w:spacing w:after="0" w:line="8"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Columbus, OH 43215-3611</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USA</w:t>
      </w:r>
    </w:p>
    <w:p>
      <w:pPr>
        <w:spacing w:after="0" w:line="9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Tel: +1 614 221 1000</w:t>
      </w:r>
    </w:p>
    <w:p>
      <w:pPr>
        <w:spacing w:after="0" w:line="2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Fax: +1 614 229 4647</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www.deloitte.com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2007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your request, we have read the description included in your Quarterly Report on Form 10-Q to the Securities and Exchange Commission for the quarter ended June 30, 2007, of the facts relating to a change in the date of the Company’s annual impairment test of goodwill and indefinite-lived intangible assets in accordance with Statement of Financial Accounting Standard (SFAS) No. 142, “Goodwill and Other Intangible Assets.” We believe, on the basis of the facts so set forth and other information furnished to us by appropriate officials of the Company, that the accounting change described in your Form 10-Q is to an alternative accounting principle that is preferable under the circumstances.</w:t>
      </w:r>
    </w:p>
    <w:p>
      <w:pPr>
        <w:spacing w:after="0" w:line="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not audited any consolidated financial statements of The Scotts Miracle-Gro Company and its consolidated subsidiaries as of any date or for any period subsequent to September 30, 2006. Therefore, we are unable to express, and we do not express, an opinion on the facts set forth in the above-mentioned Form 10-Q, on the related information furnished to us by officials of the Company, or on the financial position, results of operations, or cash flows of The Scotts Miracle-Gro Company and its consolidated subsidiaries as of any date or for any period subsequent to September 30, 2006.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29765" cy="368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976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Member of</w:t>
      </w:r>
    </w:p>
    <w:p>
      <w:pPr>
        <w:spacing w:after="0" w:line="2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Deloitte Touche Tohmatsu</w:t>
      </w:r>
    </w:p>
    <w:p>
      <w:pPr>
        <w:sectPr>
          <w:pgSz w:w="11900" w:h="16838" w:orient="portrait"/>
          <w:cols w:equalWidth="0" w:num="1">
            <w:col w:w="11420"/>
          </w:cols>
          <w:pgMar w:left="240" w:top="92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17"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quarterly period ended June 30, 2007;</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2007</w:t>
            </w:r>
          </w:p>
        </w:tc>
        <w:tc>
          <w:tcPr>
            <w:tcW w:w="6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James Hagedorn</w:t>
            </w:r>
          </w:p>
        </w:tc>
      </w:tr>
      <w:tr>
        <w:trPr>
          <w:trHeight w:val="20"/>
        </w:trPr>
        <w:tc>
          <w:tcPr>
            <w:tcW w:w="3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191"/>
        </w:trPr>
        <w:tc>
          <w:tcPr>
            <w:tcW w:w="3200" w:type="dxa"/>
            <w:vAlign w:val="bottom"/>
          </w:tcPr>
          <w:p>
            <w:pPr>
              <w:spacing w:after="0"/>
              <w:rPr>
                <w:sz w:val="16"/>
                <w:szCs w:val="16"/>
                <w:color w:val="auto"/>
              </w:rPr>
            </w:pPr>
          </w:p>
        </w:tc>
        <w:tc>
          <w:tcPr>
            <w:tcW w:w="6740" w:type="dxa"/>
            <w:vAlign w:val="bottom"/>
            <w:gridSpan w:val="2"/>
          </w:tcPr>
          <w:p>
            <w:pPr>
              <w:ind w:left="1580"/>
              <w:spacing w:after="0" w:line="191" w:lineRule="exact"/>
              <w:rPr>
                <w:sz w:val="20"/>
                <w:szCs w:val="20"/>
                <w:color w:val="auto"/>
              </w:rPr>
            </w:pPr>
            <w:r>
              <w:rPr>
                <w:rFonts w:ascii="Times New Roman" w:cs="Times New Roman" w:eastAsia="Times New Roman" w:hAnsi="Times New Roman"/>
                <w:sz w:val="18"/>
                <w:szCs w:val="18"/>
                <w:color w:val="auto"/>
              </w:rPr>
              <w:t>Printed Name: James Hagedorn</w:t>
            </w:r>
          </w:p>
        </w:tc>
      </w:tr>
      <w:tr>
        <w:trPr>
          <w:trHeight w:val="234"/>
        </w:trPr>
        <w:tc>
          <w:tcPr>
            <w:tcW w:w="3200" w:type="dxa"/>
            <w:vAlign w:val="bottom"/>
          </w:tcPr>
          <w:p>
            <w:pPr>
              <w:spacing w:after="0"/>
              <w:rPr>
                <w:sz w:val="20"/>
                <w:szCs w:val="20"/>
                <w:color w:val="auto"/>
              </w:rPr>
            </w:pPr>
          </w:p>
        </w:tc>
        <w:tc>
          <w:tcPr>
            <w:tcW w:w="6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Title: President, Chief Executive Officer and Chairman of the Board</w:t>
            </w:r>
          </w:p>
        </w:tc>
      </w:tr>
      <w:tr>
        <w:trPr>
          <w:trHeight w:val="621"/>
        </w:trPr>
        <w:tc>
          <w:tcPr>
            <w:tcW w:w="3200" w:type="dxa"/>
            <w:vAlign w:val="bottom"/>
          </w:tcPr>
          <w:p>
            <w:pPr>
              <w:spacing w:after="0"/>
              <w:rPr>
                <w:sz w:val="24"/>
                <w:szCs w:val="24"/>
                <w:color w:val="auto"/>
              </w:rPr>
            </w:pPr>
          </w:p>
        </w:tc>
        <w:tc>
          <w:tcPr>
            <w:tcW w:w="6740" w:type="dxa"/>
            <w:vAlign w:val="bottom"/>
            <w:gridSpan w:val="2"/>
          </w:tcPr>
          <w:p>
            <w:pPr>
              <w:jc w:val="right"/>
              <w:ind w:right="414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420"/>
          </w:cols>
          <w:pgMar w:left="240" w:top="927"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 Evans, certify that:</w:t>
      </w:r>
    </w:p>
    <w:p>
      <w:pPr>
        <w:spacing w:after="0" w:line="117"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quarterly period ended June 30, 2007;</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2007</w:t>
            </w:r>
          </w:p>
        </w:tc>
        <w:tc>
          <w:tcPr>
            <w:tcW w:w="63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David C. Evans</w:t>
            </w: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r>
      <w:tr>
        <w:trPr>
          <w:trHeight w:val="191"/>
        </w:trPr>
        <w:tc>
          <w:tcPr>
            <w:tcW w:w="3440" w:type="dxa"/>
            <w:vAlign w:val="bottom"/>
          </w:tcPr>
          <w:p>
            <w:pPr>
              <w:spacing w:after="0"/>
              <w:rPr>
                <w:sz w:val="16"/>
                <w:szCs w:val="16"/>
                <w:color w:val="auto"/>
              </w:rPr>
            </w:pPr>
          </w:p>
        </w:tc>
        <w:tc>
          <w:tcPr>
            <w:tcW w:w="6340" w:type="dxa"/>
            <w:vAlign w:val="bottom"/>
            <w:gridSpan w:val="2"/>
          </w:tcPr>
          <w:p>
            <w:pPr>
              <w:ind w:left="1820"/>
              <w:spacing w:after="0" w:line="191" w:lineRule="exact"/>
              <w:rPr>
                <w:sz w:val="20"/>
                <w:szCs w:val="20"/>
                <w:color w:val="auto"/>
              </w:rPr>
            </w:pPr>
            <w:r>
              <w:rPr>
                <w:rFonts w:ascii="Times New Roman" w:cs="Times New Roman" w:eastAsia="Times New Roman" w:hAnsi="Times New Roman"/>
                <w:sz w:val="18"/>
                <w:szCs w:val="18"/>
                <w:color w:val="auto"/>
              </w:rPr>
              <w:t>Printed Name: David C. Evans</w:t>
            </w:r>
          </w:p>
        </w:tc>
      </w:tr>
      <w:tr>
        <w:trPr>
          <w:trHeight w:val="234"/>
        </w:trPr>
        <w:tc>
          <w:tcPr>
            <w:tcW w:w="3440" w:type="dxa"/>
            <w:vAlign w:val="bottom"/>
          </w:tcPr>
          <w:p>
            <w:pPr>
              <w:spacing w:after="0"/>
              <w:rPr>
                <w:sz w:val="20"/>
                <w:szCs w:val="20"/>
                <w:color w:val="auto"/>
              </w:rPr>
            </w:pPr>
          </w:p>
        </w:tc>
        <w:tc>
          <w:tcPr>
            <w:tcW w:w="63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621"/>
        </w:trPr>
        <w:tc>
          <w:tcPr>
            <w:tcW w:w="3440" w:type="dxa"/>
            <w:vAlign w:val="bottom"/>
          </w:tcPr>
          <w:p>
            <w:pPr>
              <w:spacing w:after="0"/>
              <w:rPr>
                <w:sz w:val="24"/>
                <w:szCs w:val="24"/>
                <w:color w:val="auto"/>
              </w:rPr>
            </w:pPr>
          </w:p>
        </w:tc>
        <w:tc>
          <w:tcPr>
            <w:tcW w:w="6340" w:type="dxa"/>
            <w:vAlign w:val="bottom"/>
            <w:gridSpan w:val="2"/>
          </w:tcPr>
          <w:p>
            <w:pPr>
              <w:jc w:val="right"/>
              <w:ind w:right="398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420"/>
          </w:cols>
          <w:pgMar w:left="240" w:top="92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The Scotts Miracle-Gro Company (the “Company”) on Form 10-Q for the quarterly period ended June 30, 2007 as filed with the Securities and Exchange Commission on the date hereof (the “Report”), the undersigned James Hagedorn, President,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76"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11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Hagedorn</w:t>
            </w:r>
          </w:p>
        </w:tc>
        <w:tc>
          <w:tcPr>
            <w:tcW w:w="34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Evans</w:t>
            </w:r>
          </w:p>
        </w:tc>
      </w:tr>
      <w:tr>
        <w:trPr>
          <w:trHeight w:val="205"/>
        </w:trPr>
        <w:tc>
          <w:tcPr>
            <w:tcW w:w="6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Hagedorn</w:t>
            </w:r>
          </w:p>
        </w:tc>
        <w:tc>
          <w:tcPr>
            <w:tcW w:w="340" w:type="dxa"/>
            <w:vAlign w:val="bottom"/>
          </w:tcPr>
          <w:p>
            <w:pPr>
              <w:spacing w:after="0"/>
              <w:rPr>
                <w:sz w:val="17"/>
                <w:szCs w:val="17"/>
                <w:color w:val="auto"/>
              </w:rPr>
            </w:pPr>
          </w:p>
        </w:tc>
        <w:tc>
          <w:tcPr>
            <w:tcW w:w="4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C. Evans</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c>
          <w:tcPr>
            <w:tcW w:w="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August 8, 2007</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August 8,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right="60" w:hanging="452"/>
        <w:spacing w:after="0" w:line="25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upp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2019-12-20T06:38:44Z</dcterms:created>
  <dcterms:modified xsi:type="dcterms:W3CDTF">2019-12-20T06:38:44Z</dcterms:modified>
</cp:coreProperties>
</file>