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59"/>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WASHINGTON, D.C. 20549</w:t>
      </w:r>
    </w:p>
    <w:p>
      <w:pPr>
        <w:spacing w:after="0" w:line="191" w:lineRule="exact"/>
        <w:rPr>
          <w:sz w:val="24"/>
          <w:szCs w:val="24"/>
          <w:color w:val="auto"/>
        </w:rPr>
      </w:pPr>
    </w:p>
    <w:p>
      <w:pPr>
        <w:ind w:left="34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ind w:left="3480"/>
        <w:spacing w:after="0"/>
        <w:rPr>
          <w:sz w:val="20"/>
          <w:szCs w:val="20"/>
          <w:color w:val="auto"/>
        </w:rPr>
      </w:pPr>
      <w:r>
        <w:rPr>
          <w:rFonts w:ascii="Courier New" w:cs="Courier New" w:eastAsia="Courier New" w:hAnsi="Courier New"/>
          <w:sz w:val="16"/>
          <w:szCs w:val="16"/>
          <w:color w:val="auto"/>
        </w:rPr>
        <w:t>FORM 11-K</w:t>
      </w:r>
    </w:p>
    <w:p>
      <w:pPr>
        <w:spacing w:after="0" w:line="1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(Mark One)</w:t>
      </w:r>
    </w:p>
    <w:p>
      <w:pPr>
        <w:sectPr>
          <w:pgSz w:w="11900" w:h="16838" w:orient="portrait"/>
          <w:cols w:equalWidth="0" w:num="1">
            <w:col w:w="10219"/>
          </w:cols>
          <w:pgMar w:left="240" w:top="427" w:right="1440" w:bottom="1440" w:gutter="0" w:footer="0" w:header="0"/>
        </w:sectPr>
      </w:pPr>
    </w:p>
    <w:p>
      <w:pPr>
        <w:spacing w:after="0" w:line="1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ind w:right="2959"/>
        <w:spacing w:after="0" w:line="248" w:lineRule="auto"/>
        <w:rPr>
          <w:sz w:val="20"/>
          <w:szCs w:val="20"/>
          <w:color w:val="auto"/>
        </w:rPr>
      </w:pPr>
      <w:r>
        <w:rPr>
          <w:rFonts w:ascii="Courier New" w:cs="Courier New" w:eastAsia="Courier New" w:hAnsi="Courier New"/>
          <w:sz w:val="16"/>
          <w:szCs w:val="16"/>
          <w:color w:val="auto"/>
        </w:rPr>
        <w:t>ANNUAL REPORT PURSUANT TO SECTION 15(d) OF THE SECURITIES EXCHANGE ACT OF 1934</w:t>
      </w:r>
    </w:p>
    <w:p>
      <w:pPr>
        <w:spacing w:after="0" w:line="184" w:lineRule="exact"/>
        <w:rPr>
          <w:sz w:val="24"/>
          <w:szCs w:val="24"/>
          <w:color w:val="auto"/>
        </w:rPr>
      </w:pPr>
    </w:p>
    <w:p>
      <w:pPr>
        <w:sectPr>
          <w:pgSz w:w="11900" w:h="16838" w:orient="portrait"/>
          <w:cols w:equalWidth="0" w:num="2">
            <w:col w:w="300" w:space="580"/>
            <w:col w:w="9339"/>
          </w:cols>
          <w:pgMar w:left="240" w:top="427" w:right="1440" w:bottom="1440" w:gutter="0" w:footer="0" w:header="0"/>
          <w:type w:val="continuous"/>
        </w:sectPr>
      </w:pPr>
    </w:p>
    <w:p>
      <w:pPr>
        <w:ind w:left="880"/>
        <w:spacing w:after="0"/>
        <w:rPr>
          <w:sz w:val="20"/>
          <w:szCs w:val="20"/>
          <w:color w:val="auto"/>
        </w:rPr>
      </w:pPr>
      <w:r>
        <w:rPr>
          <w:rFonts w:ascii="Courier New" w:cs="Courier New" w:eastAsia="Courier New" w:hAnsi="Courier New"/>
          <w:sz w:val="16"/>
          <w:szCs w:val="16"/>
          <w:color w:val="auto"/>
        </w:rPr>
        <w:t>FOR THE FISCAL YEAR ENDED DECEMBER 31, 2001</w:t>
      </w:r>
    </w:p>
    <w:p>
      <w:pPr>
        <w:spacing w:after="0" w:line="191" w:lineRule="exact"/>
        <w:rPr>
          <w:sz w:val="24"/>
          <w:szCs w:val="24"/>
          <w:color w:val="auto"/>
        </w:rPr>
      </w:pPr>
    </w:p>
    <w:p>
      <w:pPr>
        <w:ind w:left="3780"/>
        <w:spacing w:after="0"/>
        <w:rPr>
          <w:sz w:val="20"/>
          <w:szCs w:val="20"/>
          <w:color w:val="auto"/>
        </w:rPr>
      </w:pPr>
      <w:r>
        <w:rPr>
          <w:rFonts w:ascii="Courier New" w:cs="Courier New" w:eastAsia="Courier New" w:hAnsi="Courier New"/>
          <w:sz w:val="16"/>
          <w:szCs w:val="16"/>
          <w:color w:val="auto"/>
        </w:rPr>
        <w:t>OR</w:t>
      </w:r>
    </w:p>
    <w:p>
      <w:pPr>
        <w:sectPr>
          <w:pgSz w:w="11900" w:h="16838" w:orient="portrait"/>
          <w:cols w:equalWidth="0" w:num="1">
            <w:col w:w="10219"/>
          </w:cols>
          <w:pgMar w:left="240" w:top="427" w:right="1440" w:bottom="1440" w:gutter="0" w:footer="0" w:header="0"/>
          <w:type w:val="continuous"/>
        </w:sectPr>
      </w:pPr>
    </w:p>
    <w:p>
      <w:pPr>
        <w:spacing w:after="0" w:line="1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ind w:right="2559"/>
        <w:spacing w:after="0" w:line="248" w:lineRule="auto"/>
        <w:rPr>
          <w:sz w:val="20"/>
          <w:szCs w:val="20"/>
          <w:color w:val="auto"/>
        </w:rPr>
      </w:pPr>
      <w:r>
        <w:rPr>
          <w:rFonts w:ascii="Courier New" w:cs="Courier New" w:eastAsia="Courier New" w:hAnsi="Courier New"/>
          <w:sz w:val="16"/>
          <w:szCs w:val="16"/>
          <w:color w:val="auto"/>
        </w:rPr>
        <w:t>TRANSITION REPORT PURSUANT TO SECTION 15(d) OF THE SECURITIES EXCHANGE ACT OF 1934</w:t>
      </w:r>
    </w:p>
    <w:p>
      <w:pPr>
        <w:spacing w:after="0" w:line="184" w:lineRule="exact"/>
        <w:rPr>
          <w:sz w:val="24"/>
          <w:szCs w:val="24"/>
          <w:color w:val="auto"/>
        </w:rPr>
      </w:pPr>
    </w:p>
    <w:p>
      <w:pPr>
        <w:sectPr>
          <w:pgSz w:w="11900" w:h="16838" w:orient="portrait"/>
          <w:cols w:equalWidth="0" w:num="2">
            <w:col w:w="300" w:space="580"/>
            <w:col w:w="9339"/>
          </w:cols>
          <w:pgMar w:left="240" w:top="427" w:right="1440" w:bottom="1440" w:gutter="0" w:footer="0" w:header="0"/>
          <w:type w:val="continuous"/>
        </w:sectPr>
      </w:pPr>
    </w:p>
    <w:p>
      <w:pPr>
        <w:ind w:left="880"/>
        <w:spacing w:after="0"/>
        <w:rPr>
          <w:sz w:val="20"/>
          <w:szCs w:val="20"/>
          <w:color w:val="auto"/>
        </w:rPr>
      </w:pPr>
      <w:r>
        <w:rPr>
          <w:rFonts w:ascii="Courier New" w:cs="Courier New" w:eastAsia="Courier New" w:hAnsi="Courier New"/>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TO</w:t>
      </w:r>
    </w:p>
    <w:p>
      <w:pPr>
        <w:spacing w:after="0" w:line="191" w:lineRule="exact"/>
        <w:rPr>
          <w:sz w:val="24"/>
          <w:szCs w:val="24"/>
          <w:color w:val="auto"/>
        </w:rPr>
      </w:pPr>
    </w:p>
    <w:p>
      <w:pPr>
        <w:sectPr>
          <w:pgSz w:w="11900" w:h="16838" w:orient="portrait"/>
          <w:cols w:equalWidth="0" w:num="2">
            <w:col w:w="4120" w:space="720"/>
            <w:col w:w="5379"/>
          </w:cols>
          <w:pgMar w:left="240" w:top="427" w:right="1440" w:bottom="1440" w:gutter="0" w:footer="0" w:header="0"/>
          <w:type w:val="continuous"/>
        </w:sectPr>
      </w:pPr>
    </w:p>
    <w:p>
      <w:pPr>
        <w:jc w:val="center"/>
        <w:ind w:right="2459"/>
        <w:spacing w:after="0"/>
        <w:rPr>
          <w:sz w:val="20"/>
          <w:szCs w:val="20"/>
          <w:color w:val="auto"/>
        </w:rPr>
      </w:pPr>
      <w:r>
        <w:rPr>
          <w:rFonts w:ascii="Courier New" w:cs="Courier New" w:eastAsia="Courier New" w:hAnsi="Courier New"/>
          <w:sz w:val="16"/>
          <w:szCs w:val="16"/>
          <w:color w:val="auto"/>
        </w:rPr>
        <w:t>COMMISSION FILE NUMBER 333-35942</w:t>
      </w:r>
    </w:p>
    <w:p>
      <w:pPr>
        <w:spacing w:after="0" w:line="191" w:lineRule="exact"/>
        <w:rPr>
          <w:sz w:val="24"/>
          <w:szCs w:val="24"/>
          <w:color w:val="auto"/>
        </w:rPr>
      </w:pPr>
    </w:p>
    <w:p>
      <w:pPr>
        <w:ind w:left="3400"/>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A. Full title of the plan and the address of the plan, if different from that of</w:t>
      </w:r>
    </w:p>
    <w:p>
      <w:pPr>
        <w:spacing w:after="0" w:line="5"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6"/>
          <w:szCs w:val="16"/>
          <w:color w:val="auto"/>
        </w:rPr>
        <w:t>the issuer named below:</w:t>
      </w:r>
    </w:p>
    <w:p>
      <w:pPr>
        <w:spacing w:after="0" w:line="191" w:lineRule="exact"/>
        <w:rPr>
          <w:sz w:val="24"/>
          <w:szCs w:val="24"/>
          <w:color w:val="auto"/>
        </w:rPr>
      </w:pPr>
    </w:p>
    <w:p>
      <w:pPr>
        <w:ind w:left="3000"/>
        <w:spacing w:after="0"/>
        <w:rPr>
          <w:sz w:val="20"/>
          <w:szCs w:val="20"/>
          <w:color w:val="auto"/>
        </w:rPr>
      </w:pPr>
      <w:r>
        <w:rPr>
          <w:rFonts w:ascii="Courier New" w:cs="Courier New" w:eastAsia="Courier New" w:hAnsi="Courier New"/>
          <w:sz w:val="16"/>
          <w:szCs w:val="16"/>
          <w:color w:val="auto"/>
        </w:rPr>
        <w:t>THE SCOTTS COMPANY</w:t>
      </w:r>
    </w:p>
    <w:p>
      <w:pPr>
        <w:spacing w:after="0" w:line="5" w:lineRule="exact"/>
        <w:rPr>
          <w:sz w:val="24"/>
          <w:szCs w:val="24"/>
          <w:color w:val="auto"/>
        </w:rPr>
      </w:pPr>
    </w:p>
    <w:p>
      <w:pPr>
        <w:ind w:left="2520"/>
        <w:spacing w:after="0"/>
        <w:rPr>
          <w:sz w:val="20"/>
          <w:szCs w:val="20"/>
          <w:color w:val="auto"/>
        </w:rPr>
      </w:pPr>
      <w:r>
        <w:rPr>
          <w:rFonts w:ascii="Courier New" w:cs="Courier New" w:eastAsia="Courier New" w:hAnsi="Courier New"/>
          <w:sz w:val="16"/>
          <w:szCs w:val="16"/>
          <w:color w:val="auto"/>
        </w:rPr>
        <w:t>UNION RETIREMENT SAVINGS PLAN</w:t>
      </w:r>
    </w:p>
    <w:p>
      <w:pPr>
        <w:spacing w:after="0" w:line="19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B. Name of issuer of the securities held pursuant to the plan and the address of</w:t>
      </w:r>
    </w:p>
    <w:p>
      <w:pPr>
        <w:spacing w:after="0" w:line="5"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6"/>
          <w:szCs w:val="16"/>
          <w:color w:val="auto"/>
        </w:rPr>
        <w:t>its principal executive office:</w:t>
      </w:r>
    </w:p>
    <w:p>
      <w:pPr>
        <w:spacing w:after="0" w:line="200" w:lineRule="exact"/>
        <w:rPr>
          <w:sz w:val="24"/>
          <w:szCs w:val="24"/>
          <w:color w:val="auto"/>
        </w:rPr>
      </w:pPr>
    </w:p>
    <w:p>
      <w:pPr>
        <w:spacing w:after="0" w:line="364" w:lineRule="exact"/>
        <w:rPr>
          <w:sz w:val="24"/>
          <w:szCs w:val="24"/>
          <w:color w:val="auto"/>
        </w:rPr>
      </w:pPr>
    </w:p>
    <w:p>
      <w:pPr>
        <w:ind w:left="3000"/>
        <w:spacing w:after="0"/>
        <w:rPr>
          <w:sz w:val="20"/>
          <w:szCs w:val="20"/>
          <w:color w:val="auto"/>
        </w:rPr>
      </w:pPr>
      <w:r>
        <w:rPr>
          <w:rFonts w:ascii="Courier New" w:cs="Courier New" w:eastAsia="Courier New" w:hAnsi="Courier New"/>
          <w:sz w:val="16"/>
          <w:szCs w:val="16"/>
          <w:color w:val="auto"/>
        </w:rPr>
        <w:t>THE SCOTTS COMPANY</w:t>
      </w:r>
    </w:p>
    <w:p>
      <w:pPr>
        <w:spacing w:after="0" w:line="5" w:lineRule="exact"/>
        <w:rPr>
          <w:sz w:val="24"/>
          <w:szCs w:val="24"/>
          <w:color w:val="auto"/>
        </w:rPr>
      </w:pPr>
    </w:p>
    <w:p>
      <w:pPr>
        <w:ind w:left="2900"/>
        <w:spacing w:after="0"/>
        <w:rPr>
          <w:sz w:val="20"/>
          <w:szCs w:val="20"/>
          <w:color w:val="auto"/>
        </w:rPr>
      </w:pPr>
      <w:r>
        <w:rPr>
          <w:rFonts w:ascii="Courier New" w:cs="Courier New" w:eastAsia="Courier New" w:hAnsi="Courier New"/>
          <w:sz w:val="16"/>
          <w:szCs w:val="16"/>
          <w:color w:val="auto"/>
        </w:rPr>
        <w:t>14111 Scottslawn Road</w:t>
      </w:r>
    </w:p>
    <w:p>
      <w:pPr>
        <w:spacing w:after="0" w:line="5" w:lineRule="exact"/>
        <w:rPr>
          <w:sz w:val="24"/>
          <w:szCs w:val="24"/>
          <w:color w:val="auto"/>
        </w:rPr>
      </w:pPr>
    </w:p>
    <w:p>
      <w:pPr>
        <w:ind w:left="2800"/>
        <w:spacing w:after="0"/>
        <w:rPr>
          <w:sz w:val="20"/>
          <w:szCs w:val="20"/>
          <w:color w:val="auto"/>
        </w:rPr>
      </w:pPr>
      <w:r>
        <w:rPr>
          <w:rFonts w:ascii="Courier New" w:cs="Courier New" w:eastAsia="Courier New" w:hAnsi="Courier New"/>
          <w:sz w:val="16"/>
          <w:szCs w:val="16"/>
          <w:color w:val="auto"/>
        </w:rPr>
        <w:t>Marysville, Ohio 43041</w:t>
      </w:r>
    </w:p>
    <w:p>
      <w:pPr>
        <w:spacing w:after="0" w:line="1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427"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THE SCOTTS COMPANY UNION RETIREMENT SAVINGS PLAN</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INDEX TO FINANCIAL STATEMENTS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31, 2001 AND 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30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228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r>
      <w:tr>
        <w:trPr>
          <w:trHeight w:val="373"/>
        </w:trPr>
        <w:tc>
          <w:tcPr>
            <w:tcW w:w="7800" w:type="dxa"/>
            <w:vAlign w:val="bottom"/>
            <w:gridSpan w:val="2"/>
          </w:tcPr>
          <w:p>
            <w:pPr>
              <w:spacing w:after="0"/>
              <w:rPr>
                <w:sz w:val="20"/>
                <w:szCs w:val="20"/>
                <w:color w:val="auto"/>
              </w:rPr>
            </w:pPr>
            <w:r>
              <w:rPr>
                <w:rFonts w:ascii="Courier New" w:cs="Courier New" w:eastAsia="Courier New" w:hAnsi="Courier New"/>
                <w:sz w:val="16"/>
                <w:szCs w:val="16"/>
                <w:color w:val="auto"/>
              </w:rPr>
              <w:t>Report of Independent Accountants</w:t>
            </w:r>
          </w:p>
        </w:tc>
        <w:tc>
          <w:tcPr>
            <w:tcW w:w="2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w:t>
            </w:r>
          </w:p>
        </w:tc>
      </w:tr>
      <w:tr>
        <w:trPr>
          <w:trHeight w:val="373"/>
        </w:trPr>
        <w:tc>
          <w:tcPr>
            <w:tcW w:w="7800" w:type="dxa"/>
            <w:vAlign w:val="bottom"/>
            <w:gridSpan w:val="2"/>
          </w:tcPr>
          <w:p>
            <w:pPr>
              <w:spacing w:after="0"/>
              <w:rPr>
                <w:sz w:val="20"/>
                <w:szCs w:val="20"/>
                <w:color w:val="auto"/>
              </w:rPr>
            </w:pPr>
            <w:r>
              <w:rPr>
                <w:rFonts w:ascii="Courier New" w:cs="Courier New" w:eastAsia="Courier New" w:hAnsi="Courier New"/>
                <w:sz w:val="16"/>
                <w:szCs w:val="16"/>
                <w:color w:val="auto"/>
              </w:rPr>
              <w:t>Financial Statements:</w:t>
            </w:r>
          </w:p>
        </w:tc>
        <w:tc>
          <w:tcPr>
            <w:tcW w:w="2280" w:type="dxa"/>
            <w:vAlign w:val="bottom"/>
          </w:tcPr>
          <w:p>
            <w:pPr>
              <w:spacing w:after="0"/>
              <w:rPr>
                <w:sz w:val="24"/>
                <w:szCs w:val="24"/>
                <w:color w:val="auto"/>
              </w:rPr>
            </w:pPr>
          </w:p>
        </w:tc>
      </w:tr>
      <w:tr>
        <w:trPr>
          <w:trHeight w:val="373"/>
        </w:trPr>
        <w:tc>
          <w:tcPr>
            <w:tcW w:w="1300" w:type="dxa"/>
            <w:vAlign w:val="bottom"/>
          </w:tcPr>
          <w:p>
            <w:pPr>
              <w:ind w:left="300"/>
              <w:spacing w:after="0"/>
              <w:rPr>
                <w:sz w:val="20"/>
                <w:szCs w:val="20"/>
                <w:color w:val="auto"/>
              </w:rPr>
            </w:pPr>
            <w:r>
              <w:rPr>
                <w:rFonts w:ascii="Courier New" w:cs="Courier New" w:eastAsia="Courier New" w:hAnsi="Courier New"/>
                <w:sz w:val="16"/>
                <w:szCs w:val="16"/>
                <w:color w:val="auto"/>
              </w:rPr>
              <w:t>Statements</w:t>
            </w:r>
          </w:p>
        </w:tc>
        <w:tc>
          <w:tcPr>
            <w:tcW w:w="6500" w:type="dxa"/>
            <w:vAlign w:val="bottom"/>
          </w:tcPr>
          <w:p>
            <w:pPr>
              <w:ind w:left="60"/>
              <w:spacing w:after="0"/>
              <w:rPr>
                <w:sz w:val="20"/>
                <w:szCs w:val="20"/>
                <w:color w:val="auto"/>
              </w:rPr>
            </w:pPr>
            <w:r>
              <w:rPr>
                <w:rFonts w:ascii="Courier New" w:cs="Courier New" w:eastAsia="Courier New" w:hAnsi="Courier New"/>
                <w:sz w:val="16"/>
                <w:szCs w:val="16"/>
                <w:color w:val="auto"/>
              </w:rPr>
              <w:t>of Net Assets Available for Benefits as of</w:t>
            </w:r>
          </w:p>
        </w:tc>
        <w:tc>
          <w:tcPr>
            <w:tcW w:w="2280" w:type="dxa"/>
            <w:vAlign w:val="bottom"/>
          </w:tcPr>
          <w:p>
            <w:pPr>
              <w:spacing w:after="0"/>
              <w:rPr>
                <w:sz w:val="24"/>
                <w:szCs w:val="24"/>
                <w:color w:val="auto"/>
              </w:rPr>
            </w:pPr>
          </w:p>
        </w:tc>
      </w:tr>
      <w:tr>
        <w:trPr>
          <w:trHeight w:val="186"/>
        </w:trPr>
        <w:tc>
          <w:tcPr>
            <w:tcW w:w="1300" w:type="dxa"/>
            <w:vAlign w:val="bottom"/>
          </w:tcPr>
          <w:p>
            <w:pPr>
              <w:ind w:left="480"/>
              <w:spacing w:after="0"/>
              <w:rPr>
                <w:sz w:val="20"/>
                <w:szCs w:val="20"/>
                <w:color w:val="auto"/>
              </w:rPr>
            </w:pPr>
            <w:r>
              <w:rPr>
                <w:rFonts w:ascii="Courier New" w:cs="Courier New" w:eastAsia="Courier New" w:hAnsi="Courier New"/>
                <w:sz w:val="16"/>
                <w:szCs w:val="16"/>
                <w:color w:val="auto"/>
              </w:rPr>
              <w:t>December</w:t>
            </w:r>
          </w:p>
        </w:tc>
        <w:tc>
          <w:tcPr>
            <w:tcW w:w="6500" w:type="dxa"/>
            <w:vAlign w:val="bottom"/>
          </w:tcPr>
          <w:p>
            <w:pPr>
              <w:ind w:left="60"/>
              <w:spacing w:after="0"/>
              <w:rPr>
                <w:sz w:val="20"/>
                <w:szCs w:val="20"/>
                <w:color w:val="auto"/>
              </w:rPr>
            </w:pPr>
            <w:r>
              <w:rPr>
                <w:rFonts w:ascii="Courier New" w:cs="Courier New" w:eastAsia="Courier New" w:hAnsi="Courier New"/>
                <w:sz w:val="16"/>
                <w:szCs w:val="16"/>
                <w:color w:val="auto"/>
              </w:rPr>
              <w:t>31, 2001 and 2000</w:t>
            </w:r>
          </w:p>
        </w:tc>
        <w:tc>
          <w:tcPr>
            <w:tcW w:w="2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w:t>
            </w:r>
          </w:p>
        </w:tc>
      </w:tr>
      <w:tr>
        <w:trPr>
          <w:trHeight w:val="373"/>
        </w:trPr>
        <w:tc>
          <w:tcPr>
            <w:tcW w:w="1300" w:type="dxa"/>
            <w:vAlign w:val="bottom"/>
          </w:tcPr>
          <w:p>
            <w:pPr>
              <w:ind w:left="300"/>
              <w:spacing w:after="0"/>
              <w:rPr>
                <w:sz w:val="20"/>
                <w:szCs w:val="20"/>
                <w:color w:val="auto"/>
              </w:rPr>
            </w:pPr>
            <w:r>
              <w:rPr>
                <w:rFonts w:ascii="Courier New" w:cs="Courier New" w:eastAsia="Courier New" w:hAnsi="Courier New"/>
                <w:sz w:val="16"/>
                <w:szCs w:val="16"/>
                <w:color w:val="auto"/>
              </w:rPr>
              <w:t>Statements</w:t>
            </w:r>
          </w:p>
        </w:tc>
        <w:tc>
          <w:tcPr>
            <w:tcW w:w="6500" w:type="dxa"/>
            <w:vAlign w:val="bottom"/>
          </w:tcPr>
          <w:p>
            <w:pPr>
              <w:ind w:left="60"/>
              <w:spacing w:after="0"/>
              <w:rPr>
                <w:sz w:val="20"/>
                <w:szCs w:val="20"/>
                <w:color w:val="auto"/>
              </w:rPr>
            </w:pPr>
            <w:r>
              <w:rPr>
                <w:rFonts w:ascii="Courier New" w:cs="Courier New" w:eastAsia="Courier New" w:hAnsi="Courier New"/>
                <w:sz w:val="16"/>
                <w:szCs w:val="16"/>
                <w:color w:val="auto"/>
              </w:rPr>
              <w:t>of Changes in Net Assets Available for Benefits</w:t>
            </w:r>
          </w:p>
        </w:tc>
        <w:tc>
          <w:tcPr>
            <w:tcW w:w="2280" w:type="dxa"/>
            <w:vAlign w:val="bottom"/>
          </w:tcPr>
          <w:p>
            <w:pPr>
              <w:spacing w:after="0"/>
              <w:rPr>
                <w:sz w:val="24"/>
                <w:szCs w:val="24"/>
                <w:color w:val="auto"/>
              </w:rPr>
            </w:pPr>
          </w:p>
        </w:tc>
      </w:tr>
      <w:tr>
        <w:trPr>
          <w:trHeight w:val="186"/>
        </w:trPr>
        <w:tc>
          <w:tcPr>
            <w:tcW w:w="780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for the Years Ended December 31, 2001 and 2000</w:t>
            </w:r>
          </w:p>
        </w:tc>
        <w:tc>
          <w:tcPr>
            <w:tcW w:w="2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w:t>
            </w:r>
          </w:p>
        </w:tc>
      </w:tr>
      <w:tr>
        <w:trPr>
          <w:trHeight w:val="373"/>
        </w:trPr>
        <w:tc>
          <w:tcPr>
            <w:tcW w:w="78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Notes to Financial Statements</w:t>
            </w:r>
          </w:p>
        </w:tc>
        <w:tc>
          <w:tcPr>
            <w:tcW w:w="22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w:t>
            </w:r>
          </w:p>
        </w:tc>
      </w:tr>
    </w:tbl>
    <w:p>
      <w:pPr>
        <w:sectPr>
          <w:pgSz w:w="11900" w:h="16838" w:orient="portrait"/>
          <w:cols w:equalWidth="0" w:num="1">
            <w:col w:w="10219"/>
          </w:cols>
          <w:pgMar w:left="240" w:top="862" w:right="1440" w:bottom="1440" w:gutter="0" w:footer="0" w:header="0"/>
        </w:sectPr>
      </w:pPr>
    </w:p>
    <w:bookmarkStart w:id="2" w:name="page3"/>
    <w:bookmarkEnd w:id="2"/>
    <w:p>
      <w:pPr>
        <w:spacing w:after="0" w:line="168"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REPORT OF INDEPENDENT ACCOUNTANTS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Participants and Administrator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Union Retirement Savings Plan</w:t>
      </w:r>
    </w:p>
    <w:p>
      <w:pPr>
        <w:spacing w:after="0" w:line="191"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In our opinion, the accompanying statements of net assets available for benefits and the related statements of changes in net assets available for benefits present fairly, in all material respects, the net assets available for benefits of The Scotts Company Union Retirement Savings Plan (the "Plan") as of December 31, 2001 and 2000, and the changes in net assets available for benefits for the year then ended in conformity with accounting principles generally accepted in the United States of America. These financial statements are the responsibility of the Plan's management; our responsibility is to express an opinion on these financial statements based on our audit. We conducted our audit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PricewaterhouseCoopers LLP</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Columbus, Ohio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9, 2002</w:t>
      </w:r>
    </w:p>
    <w:p>
      <w:pPr>
        <w:sectPr>
          <w:pgSz w:w="11900" w:h="16838" w:orient="portrait"/>
          <w:cols w:equalWidth="0" w:num="1">
            <w:col w:w="10219"/>
          </w:cols>
          <w:pgMar w:left="240" w:top="1440"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THE SCOTTS COMPANY UNION RETIREMENT SAVINGS PLAN</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STATEMENTS OF NET ASSETS AVAILABLE FOR BENEFITS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OF DECEMBER 31, 2001 AND 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180" w:type="dxa"/>
            <w:vAlign w:val="bottom"/>
          </w:tcPr>
          <w:p>
            <w:pPr>
              <w:spacing w:after="0"/>
              <w:rPr>
                <w:sz w:val="15"/>
                <w:szCs w:val="15"/>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2001</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2000</w:t>
            </w:r>
          </w:p>
        </w:tc>
      </w:tr>
      <w:tr>
        <w:trPr>
          <w:trHeight w:val="373"/>
        </w:trPr>
        <w:tc>
          <w:tcPr>
            <w:tcW w:w="5180" w:type="dxa"/>
            <w:vAlign w:val="bottom"/>
          </w:tcPr>
          <w:p>
            <w:pPr>
              <w:spacing w:after="0"/>
              <w:rPr>
                <w:sz w:val="20"/>
                <w:szCs w:val="20"/>
                <w:color w:val="auto"/>
              </w:rPr>
            </w:pPr>
            <w:r>
              <w:rPr>
                <w:rFonts w:ascii="Courier New" w:cs="Courier New" w:eastAsia="Courier New" w:hAnsi="Courier New"/>
                <w:sz w:val="16"/>
                <w:szCs w:val="16"/>
                <w:color w:val="auto"/>
              </w:rPr>
              <w:t>Net assets available for benefits:</w:t>
            </w:r>
          </w:p>
        </w:tc>
        <w:tc>
          <w:tcPr>
            <w:tcW w:w="15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6"/>
        </w:trPr>
        <w:tc>
          <w:tcPr>
            <w:tcW w:w="5180" w:type="dxa"/>
            <w:vAlign w:val="bottom"/>
          </w:tcPr>
          <w:p>
            <w:pPr>
              <w:ind w:left="300"/>
              <w:spacing w:after="0"/>
              <w:rPr>
                <w:sz w:val="20"/>
                <w:szCs w:val="20"/>
                <w:color w:val="auto"/>
              </w:rPr>
            </w:pPr>
            <w:r>
              <w:rPr>
                <w:rFonts w:ascii="Courier New" w:cs="Courier New" w:eastAsia="Courier New" w:hAnsi="Courier New"/>
                <w:sz w:val="16"/>
                <w:szCs w:val="16"/>
                <w:color w:val="auto"/>
              </w:rPr>
              <w:t>Investment in master trust</w:t>
            </w:r>
          </w:p>
        </w:tc>
        <w:tc>
          <w:tcPr>
            <w:tcW w:w="15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$170,065</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$ 80,491</w:t>
            </w:r>
          </w:p>
        </w:tc>
      </w:tr>
      <w:tr>
        <w:trPr>
          <w:trHeight w:val="186"/>
        </w:trPr>
        <w:tc>
          <w:tcPr>
            <w:tcW w:w="5180" w:type="dxa"/>
            <w:vAlign w:val="bottom"/>
          </w:tcPr>
          <w:p>
            <w:pPr>
              <w:ind w:left="300"/>
              <w:spacing w:after="0"/>
              <w:rPr>
                <w:sz w:val="20"/>
                <w:szCs w:val="20"/>
                <w:color w:val="auto"/>
              </w:rPr>
            </w:pPr>
            <w:r>
              <w:rPr>
                <w:rFonts w:ascii="Courier New" w:cs="Courier New" w:eastAsia="Courier New" w:hAnsi="Courier New"/>
                <w:sz w:val="16"/>
                <w:szCs w:val="16"/>
                <w:color w:val="auto"/>
              </w:rPr>
              <w:t>Employer contribution receivable</w:t>
            </w:r>
          </w:p>
        </w:tc>
        <w:tc>
          <w:tcPr>
            <w:tcW w:w="15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3,087</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4,135</w:t>
            </w:r>
          </w:p>
        </w:tc>
      </w:tr>
      <w:tr>
        <w:trPr>
          <w:trHeight w:val="186"/>
        </w:trPr>
        <w:tc>
          <w:tcPr>
            <w:tcW w:w="5180" w:type="dxa"/>
            <w:vAlign w:val="bottom"/>
          </w:tcPr>
          <w:p>
            <w:pPr>
              <w:ind w:left="300"/>
              <w:spacing w:after="0"/>
              <w:rPr>
                <w:sz w:val="20"/>
                <w:szCs w:val="20"/>
                <w:color w:val="auto"/>
              </w:rPr>
            </w:pPr>
            <w:r>
              <w:rPr>
                <w:rFonts w:ascii="Courier New" w:cs="Courier New" w:eastAsia="Courier New" w:hAnsi="Courier New"/>
                <w:sz w:val="16"/>
                <w:szCs w:val="16"/>
                <w:color w:val="auto"/>
              </w:rPr>
              <w:t>Employee contribution receivable</w:t>
            </w:r>
          </w:p>
        </w:tc>
        <w:tc>
          <w:tcPr>
            <w:tcW w:w="15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5,056</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7,113</w:t>
            </w:r>
          </w:p>
        </w:tc>
      </w:tr>
      <w:tr>
        <w:trPr>
          <w:trHeight w:val="186"/>
        </w:trPr>
        <w:tc>
          <w:tcPr>
            <w:tcW w:w="5180" w:type="dxa"/>
            <w:vAlign w:val="bottom"/>
          </w:tcPr>
          <w:p>
            <w:pPr>
              <w:spacing w:after="0"/>
              <w:rPr>
                <w:sz w:val="16"/>
                <w:szCs w:val="16"/>
                <w:color w:val="auto"/>
              </w:rPr>
            </w:pPr>
          </w:p>
        </w:tc>
        <w:tc>
          <w:tcPr>
            <w:tcW w:w="15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180" w:type="dxa"/>
            <w:vAlign w:val="bottom"/>
          </w:tcPr>
          <w:p>
            <w:pPr>
              <w:ind w:left="880"/>
              <w:spacing w:after="0"/>
              <w:rPr>
                <w:sz w:val="20"/>
                <w:szCs w:val="20"/>
                <w:color w:val="auto"/>
              </w:rPr>
            </w:pPr>
            <w:r>
              <w:rPr>
                <w:rFonts w:ascii="Courier New" w:cs="Courier New" w:eastAsia="Courier New" w:hAnsi="Courier New"/>
                <w:sz w:val="16"/>
                <w:szCs w:val="16"/>
                <w:color w:val="auto"/>
              </w:rPr>
              <w:t>Total net assets available for benefits</w:t>
            </w:r>
          </w:p>
        </w:tc>
        <w:tc>
          <w:tcPr>
            <w:tcW w:w="15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$178,208</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$ 91,739</w:t>
            </w:r>
          </w:p>
        </w:tc>
      </w:tr>
      <w:tr>
        <w:trPr>
          <w:trHeight w:val="186"/>
        </w:trPr>
        <w:tc>
          <w:tcPr>
            <w:tcW w:w="5180" w:type="dxa"/>
            <w:vAlign w:val="bottom"/>
          </w:tcPr>
          <w:p>
            <w:pPr>
              <w:spacing w:after="0"/>
              <w:rPr>
                <w:sz w:val="16"/>
                <w:szCs w:val="16"/>
                <w:color w:val="auto"/>
              </w:rPr>
            </w:pPr>
          </w:p>
        </w:tc>
        <w:tc>
          <w:tcPr>
            <w:tcW w:w="15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The accompanying notes are an integral part of the financial statements.</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86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THE SCOTTS COMPANY UNION RETIREMENT SAVINGS PLAN</w:t>
      </w:r>
    </w:p>
    <w:p>
      <w:pPr>
        <w:spacing w:after="0" w:line="191" w:lineRule="exact"/>
        <w:rPr>
          <w:sz w:val="20"/>
          <w:szCs w:val="20"/>
          <w:color w:val="auto"/>
        </w:rPr>
      </w:pPr>
    </w:p>
    <w:p>
      <w:pPr>
        <w:ind w:right="4599"/>
        <w:spacing w:after="0" w:line="246" w:lineRule="auto"/>
        <w:rPr>
          <w:sz w:val="20"/>
          <w:szCs w:val="20"/>
          <w:color w:val="auto"/>
        </w:rPr>
      </w:pPr>
      <w:r>
        <w:rPr>
          <w:rFonts w:ascii="Courier New" w:cs="Courier New" w:eastAsia="Courier New" w:hAnsi="Courier New"/>
          <w:sz w:val="16"/>
          <w:szCs w:val="16"/>
          <w:color w:val="auto"/>
        </w:rPr>
        <w:t>STATEMENTS OF CHANGES IN NET ASSETS AVAILABLE FOR BENEFITS FOR THE YEAR ENDED DECEMBER 31, 2001 AND 2000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2001</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2000</w:t>
            </w:r>
          </w:p>
        </w:tc>
      </w:tr>
      <w:tr>
        <w:trPr>
          <w:trHeight w:val="373"/>
        </w:trPr>
        <w:tc>
          <w:tcPr>
            <w:tcW w:w="5420" w:type="dxa"/>
            <w:vAlign w:val="bottom"/>
          </w:tcPr>
          <w:p>
            <w:pPr>
              <w:spacing w:after="0"/>
              <w:rPr>
                <w:sz w:val="20"/>
                <w:szCs w:val="20"/>
                <w:color w:val="auto"/>
              </w:rPr>
            </w:pPr>
            <w:r>
              <w:rPr>
                <w:rFonts w:ascii="Courier New" w:cs="Courier New" w:eastAsia="Courier New" w:hAnsi="Courier New"/>
                <w:sz w:val="16"/>
                <w:szCs w:val="16"/>
                <w:color w:val="auto"/>
              </w:rPr>
              <w:t>Increases:</w:t>
            </w: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6"/>
        </w:trPr>
        <w:tc>
          <w:tcPr>
            <w:tcW w:w="5420" w:type="dxa"/>
            <w:vAlign w:val="bottom"/>
          </w:tcPr>
          <w:p>
            <w:pPr>
              <w:ind w:left="300"/>
              <w:spacing w:after="0"/>
              <w:rPr>
                <w:sz w:val="20"/>
                <w:szCs w:val="20"/>
                <w:color w:val="auto"/>
              </w:rPr>
            </w:pPr>
            <w:r>
              <w:rPr>
                <w:rFonts w:ascii="Courier New" w:cs="Courier New" w:eastAsia="Courier New" w:hAnsi="Courier New"/>
                <w:sz w:val="16"/>
                <w:szCs w:val="16"/>
                <w:color w:val="auto"/>
              </w:rPr>
              <w:t>Employer contributions</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37,559</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$ 39,193</w:t>
            </w:r>
          </w:p>
        </w:tc>
      </w:tr>
      <w:tr>
        <w:trPr>
          <w:trHeight w:val="186"/>
        </w:trPr>
        <w:tc>
          <w:tcPr>
            <w:tcW w:w="5420" w:type="dxa"/>
            <w:vAlign w:val="bottom"/>
          </w:tcPr>
          <w:p>
            <w:pPr>
              <w:ind w:left="300"/>
              <w:spacing w:after="0"/>
              <w:rPr>
                <w:sz w:val="20"/>
                <w:szCs w:val="20"/>
                <w:color w:val="auto"/>
              </w:rPr>
            </w:pPr>
            <w:r>
              <w:rPr>
                <w:rFonts w:ascii="Courier New" w:cs="Courier New" w:eastAsia="Courier New" w:hAnsi="Courier New"/>
                <w:sz w:val="16"/>
                <w:szCs w:val="16"/>
                <w:color w:val="auto"/>
              </w:rPr>
              <w:t>Participant contributions</w:t>
            </w:r>
          </w:p>
        </w:tc>
        <w:tc>
          <w:tcPr>
            <w:tcW w:w="500" w:type="dxa"/>
            <w:vAlign w:val="bottom"/>
          </w:tcPr>
          <w:p>
            <w:pPr>
              <w:spacing w:after="0"/>
              <w:rPr>
                <w:sz w:val="16"/>
                <w:szCs w:val="16"/>
                <w:color w:val="auto"/>
              </w:rPr>
            </w:pPr>
          </w:p>
        </w:tc>
        <w:tc>
          <w:tcPr>
            <w:tcW w:w="8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72,012</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60,794</w:t>
            </w:r>
          </w:p>
        </w:tc>
      </w:tr>
      <w:tr>
        <w:trPr>
          <w:trHeight w:val="186"/>
        </w:trPr>
        <w:tc>
          <w:tcPr>
            <w:tcW w:w="5420" w:type="dxa"/>
            <w:vAlign w:val="bottom"/>
          </w:tcPr>
          <w:p>
            <w:pPr>
              <w:spacing w:after="0"/>
              <w:rPr>
                <w:sz w:val="16"/>
                <w:szCs w:val="16"/>
                <w:color w:val="auto"/>
              </w:rPr>
            </w:pPr>
          </w:p>
        </w:tc>
        <w:tc>
          <w:tcPr>
            <w:tcW w:w="13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420" w:type="dxa"/>
            <w:vAlign w:val="bottom"/>
          </w:tcPr>
          <w:p>
            <w:pPr>
              <w:ind w:left="480"/>
              <w:spacing w:after="0"/>
              <w:rPr>
                <w:sz w:val="20"/>
                <w:szCs w:val="20"/>
                <w:color w:val="auto"/>
              </w:rPr>
            </w:pPr>
            <w:r>
              <w:rPr>
                <w:rFonts w:ascii="Courier New" w:cs="Courier New" w:eastAsia="Courier New" w:hAnsi="Courier New"/>
                <w:sz w:val="16"/>
                <w:szCs w:val="16"/>
                <w:color w:val="auto"/>
              </w:rPr>
              <w:t>Total increases</w:t>
            </w:r>
          </w:p>
        </w:tc>
        <w:tc>
          <w:tcPr>
            <w:tcW w:w="500" w:type="dxa"/>
            <w:vAlign w:val="bottom"/>
          </w:tcPr>
          <w:p>
            <w:pPr>
              <w:spacing w:after="0"/>
              <w:rPr>
                <w:sz w:val="16"/>
                <w:szCs w:val="16"/>
                <w:color w:val="auto"/>
              </w:rPr>
            </w:pPr>
          </w:p>
        </w:tc>
        <w:tc>
          <w:tcPr>
            <w:tcW w:w="86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5"/>
              </w:rPr>
              <w:t>109,571</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99,987</w:t>
            </w:r>
          </w:p>
        </w:tc>
      </w:tr>
      <w:tr>
        <w:trPr>
          <w:trHeight w:val="186"/>
        </w:trPr>
        <w:tc>
          <w:tcPr>
            <w:tcW w:w="5420" w:type="dxa"/>
            <w:vAlign w:val="bottom"/>
          </w:tcPr>
          <w:p>
            <w:pPr>
              <w:spacing w:after="0"/>
              <w:rPr>
                <w:sz w:val="16"/>
                <w:szCs w:val="16"/>
                <w:color w:val="auto"/>
              </w:rPr>
            </w:pPr>
          </w:p>
        </w:tc>
        <w:tc>
          <w:tcPr>
            <w:tcW w:w="13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420" w:type="dxa"/>
            <w:vAlign w:val="bottom"/>
          </w:tcPr>
          <w:p>
            <w:pPr>
              <w:spacing w:after="0"/>
              <w:rPr>
                <w:sz w:val="20"/>
                <w:szCs w:val="20"/>
                <w:color w:val="auto"/>
              </w:rPr>
            </w:pPr>
            <w:r>
              <w:rPr>
                <w:rFonts w:ascii="Courier New" w:cs="Courier New" w:eastAsia="Courier New" w:hAnsi="Courier New"/>
                <w:sz w:val="16"/>
                <w:szCs w:val="16"/>
                <w:color w:val="auto"/>
              </w:rPr>
              <w:t>Decreases:</w:t>
            </w: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6"/>
        </w:trPr>
        <w:tc>
          <w:tcPr>
            <w:tcW w:w="5420" w:type="dxa"/>
            <w:vAlign w:val="bottom"/>
          </w:tcPr>
          <w:p>
            <w:pPr>
              <w:ind w:left="300"/>
              <w:spacing w:after="0"/>
              <w:rPr>
                <w:sz w:val="20"/>
                <w:szCs w:val="20"/>
                <w:color w:val="auto"/>
              </w:rPr>
            </w:pPr>
            <w:r>
              <w:rPr>
                <w:rFonts w:ascii="Courier New" w:cs="Courier New" w:eastAsia="Courier New" w:hAnsi="Courier New"/>
                <w:sz w:val="16"/>
                <w:szCs w:val="16"/>
                <w:color w:val="auto"/>
              </w:rPr>
              <w:t>Net loss from master trust</w:t>
            </w:r>
          </w:p>
        </w:tc>
        <w:tc>
          <w:tcPr>
            <w:tcW w:w="500" w:type="dxa"/>
            <w:vAlign w:val="bottom"/>
          </w:tcPr>
          <w:p>
            <w:pPr>
              <w:spacing w:after="0"/>
              <w:rPr>
                <w:sz w:val="16"/>
                <w:szCs w:val="16"/>
                <w:color w:val="auto"/>
              </w:rPr>
            </w:pPr>
          </w:p>
        </w:tc>
        <w:tc>
          <w:tcPr>
            <w:tcW w:w="8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5,683</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2,739</w:t>
            </w:r>
          </w:p>
        </w:tc>
      </w:tr>
      <w:tr>
        <w:trPr>
          <w:trHeight w:val="186"/>
        </w:trPr>
        <w:tc>
          <w:tcPr>
            <w:tcW w:w="5420" w:type="dxa"/>
            <w:vAlign w:val="bottom"/>
          </w:tcPr>
          <w:p>
            <w:pPr>
              <w:ind w:left="300"/>
              <w:spacing w:after="0"/>
              <w:rPr>
                <w:sz w:val="20"/>
                <w:szCs w:val="20"/>
                <w:color w:val="auto"/>
              </w:rPr>
            </w:pPr>
            <w:r>
              <w:rPr>
                <w:rFonts w:ascii="Courier New" w:cs="Courier New" w:eastAsia="Courier New" w:hAnsi="Courier New"/>
                <w:sz w:val="16"/>
                <w:szCs w:val="16"/>
                <w:color w:val="auto"/>
              </w:rPr>
              <w:t>Benefits paid to participants</w:t>
            </w:r>
          </w:p>
        </w:tc>
        <w:tc>
          <w:tcPr>
            <w:tcW w:w="500" w:type="dxa"/>
            <w:vAlign w:val="bottom"/>
          </w:tcPr>
          <w:p>
            <w:pPr>
              <w:spacing w:after="0"/>
              <w:rPr>
                <w:sz w:val="16"/>
                <w:szCs w:val="16"/>
                <w:color w:val="auto"/>
              </w:rPr>
            </w:pPr>
          </w:p>
        </w:tc>
        <w:tc>
          <w:tcPr>
            <w:tcW w:w="8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17,419</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5,509</w:t>
            </w:r>
          </w:p>
        </w:tc>
      </w:tr>
      <w:tr>
        <w:trPr>
          <w:trHeight w:val="186"/>
        </w:trPr>
        <w:tc>
          <w:tcPr>
            <w:tcW w:w="5420" w:type="dxa"/>
            <w:vAlign w:val="bottom"/>
          </w:tcPr>
          <w:p>
            <w:pPr>
              <w:spacing w:after="0"/>
              <w:rPr>
                <w:sz w:val="16"/>
                <w:szCs w:val="16"/>
                <w:color w:val="auto"/>
              </w:rPr>
            </w:pPr>
          </w:p>
        </w:tc>
        <w:tc>
          <w:tcPr>
            <w:tcW w:w="13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420" w:type="dxa"/>
            <w:vAlign w:val="bottom"/>
          </w:tcPr>
          <w:p>
            <w:pPr>
              <w:ind w:left="480"/>
              <w:spacing w:after="0"/>
              <w:rPr>
                <w:sz w:val="20"/>
                <w:szCs w:val="20"/>
                <w:color w:val="auto"/>
              </w:rPr>
            </w:pPr>
            <w:r>
              <w:rPr>
                <w:rFonts w:ascii="Courier New" w:cs="Courier New" w:eastAsia="Courier New" w:hAnsi="Courier New"/>
                <w:sz w:val="16"/>
                <w:szCs w:val="16"/>
                <w:color w:val="auto"/>
              </w:rPr>
              <w:t>Total decreases</w:t>
            </w:r>
          </w:p>
        </w:tc>
        <w:tc>
          <w:tcPr>
            <w:tcW w:w="500" w:type="dxa"/>
            <w:vAlign w:val="bottom"/>
          </w:tcPr>
          <w:p>
            <w:pPr>
              <w:spacing w:after="0"/>
              <w:rPr>
                <w:sz w:val="16"/>
                <w:szCs w:val="16"/>
                <w:color w:val="auto"/>
              </w:rPr>
            </w:pPr>
          </w:p>
        </w:tc>
        <w:tc>
          <w:tcPr>
            <w:tcW w:w="8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23,102</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8,248</w:t>
            </w:r>
          </w:p>
        </w:tc>
      </w:tr>
      <w:tr>
        <w:trPr>
          <w:trHeight w:val="186"/>
        </w:trPr>
        <w:tc>
          <w:tcPr>
            <w:tcW w:w="5420" w:type="dxa"/>
            <w:vAlign w:val="bottom"/>
          </w:tcPr>
          <w:p>
            <w:pPr>
              <w:spacing w:after="0"/>
              <w:rPr>
                <w:sz w:val="16"/>
                <w:szCs w:val="16"/>
                <w:color w:val="auto"/>
              </w:rPr>
            </w:pPr>
          </w:p>
        </w:tc>
        <w:tc>
          <w:tcPr>
            <w:tcW w:w="13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420" w:type="dxa"/>
            <w:vAlign w:val="bottom"/>
          </w:tcPr>
          <w:p>
            <w:pPr>
              <w:spacing w:after="0"/>
              <w:rPr>
                <w:sz w:val="20"/>
                <w:szCs w:val="20"/>
                <w:color w:val="auto"/>
              </w:rPr>
            </w:pPr>
            <w:r>
              <w:rPr>
                <w:rFonts w:ascii="Courier New" w:cs="Courier New" w:eastAsia="Courier New" w:hAnsi="Courier New"/>
                <w:sz w:val="16"/>
                <w:szCs w:val="16"/>
                <w:color w:val="auto"/>
              </w:rPr>
              <w:t>Net increase in net assets available for benefits</w:t>
            </w:r>
          </w:p>
        </w:tc>
        <w:tc>
          <w:tcPr>
            <w:tcW w:w="500" w:type="dxa"/>
            <w:vAlign w:val="bottom"/>
          </w:tcPr>
          <w:p>
            <w:pPr>
              <w:spacing w:after="0"/>
              <w:rPr>
                <w:sz w:val="16"/>
                <w:szCs w:val="16"/>
                <w:color w:val="auto"/>
              </w:rPr>
            </w:pPr>
          </w:p>
        </w:tc>
        <w:tc>
          <w:tcPr>
            <w:tcW w:w="8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86,469</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91,739</w:t>
            </w:r>
          </w:p>
        </w:tc>
      </w:tr>
      <w:tr>
        <w:trPr>
          <w:trHeight w:val="373"/>
        </w:trPr>
        <w:tc>
          <w:tcPr>
            <w:tcW w:w="5420" w:type="dxa"/>
            <w:vAlign w:val="bottom"/>
          </w:tcPr>
          <w:p>
            <w:pPr>
              <w:spacing w:after="0"/>
              <w:rPr>
                <w:sz w:val="20"/>
                <w:szCs w:val="20"/>
                <w:color w:val="auto"/>
              </w:rPr>
            </w:pPr>
            <w:r>
              <w:rPr>
                <w:rFonts w:ascii="Courier New" w:cs="Courier New" w:eastAsia="Courier New" w:hAnsi="Courier New"/>
                <w:sz w:val="16"/>
                <w:szCs w:val="16"/>
                <w:color w:val="auto"/>
              </w:rPr>
              <w:t>Net assets available for benefits, beginning of year</w:t>
            </w:r>
          </w:p>
        </w:tc>
        <w:tc>
          <w:tcPr>
            <w:tcW w:w="500" w:type="dxa"/>
            <w:vAlign w:val="bottom"/>
          </w:tcPr>
          <w:p>
            <w:pPr>
              <w:spacing w:after="0"/>
              <w:rPr>
                <w:sz w:val="24"/>
                <w:szCs w:val="24"/>
                <w:color w:val="auto"/>
              </w:rPr>
            </w:pPr>
          </w:p>
        </w:tc>
        <w:tc>
          <w:tcPr>
            <w:tcW w:w="8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91,739</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5420" w:type="dxa"/>
            <w:vAlign w:val="bottom"/>
          </w:tcPr>
          <w:p>
            <w:pPr>
              <w:spacing w:after="0"/>
              <w:rPr>
                <w:sz w:val="16"/>
                <w:szCs w:val="16"/>
                <w:color w:val="auto"/>
              </w:rPr>
            </w:pPr>
          </w:p>
        </w:tc>
        <w:tc>
          <w:tcPr>
            <w:tcW w:w="13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420" w:type="dxa"/>
            <w:vAlign w:val="bottom"/>
          </w:tcPr>
          <w:p>
            <w:pPr>
              <w:spacing w:after="0"/>
              <w:rPr>
                <w:sz w:val="20"/>
                <w:szCs w:val="20"/>
                <w:color w:val="auto"/>
              </w:rPr>
            </w:pPr>
            <w:r>
              <w:rPr>
                <w:rFonts w:ascii="Courier New" w:cs="Courier New" w:eastAsia="Courier New" w:hAnsi="Courier New"/>
                <w:sz w:val="16"/>
                <w:szCs w:val="16"/>
                <w:color w:val="auto"/>
              </w:rPr>
              <w:t>Net assets available for benefits, end of year</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5"/>
              </w:rPr>
              <w:t>178,208</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$ 91,739</w:t>
            </w:r>
          </w:p>
        </w:tc>
      </w:tr>
      <w:tr>
        <w:trPr>
          <w:trHeight w:val="186"/>
        </w:trPr>
        <w:tc>
          <w:tcPr>
            <w:tcW w:w="5420" w:type="dxa"/>
            <w:vAlign w:val="bottom"/>
          </w:tcPr>
          <w:p>
            <w:pPr>
              <w:spacing w:after="0"/>
              <w:rPr>
                <w:sz w:val="16"/>
                <w:szCs w:val="16"/>
                <w:color w:val="auto"/>
              </w:rPr>
            </w:pPr>
          </w:p>
        </w:tc>
        <w:tc>
          <w:tcPr>
            <w:tcW w:w="13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The accompanying notes are an integral part of the financial statements.</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1235" w:right="1440" w:bottom="1440" w:gutter="0" w:footer="0" w:header="0"/>
        </w:sectPr>
      </w:pPr>
    </w:p>
    <w:bookmarkStart w:id="5" w:name="page6"/>
    <w:bookmarkEnd w:id="5"/>
    <w:p>
      <w:pPr>
        <w:ind w:left="1"/>
        <w:spacing w:after="0"/>
        <w:rPr>
          <w:sz w:val="20"/>
          <w:szCs w:val="20"/>
          <w:color w:val="auto"/>
        </w:rPr>
      </w:pPr>
      <w:r>
        <w:rPr>
          <w:rFonts w:ascii="Courier New" w:cs="Courier New" w:eastAsia="Courier New" w:hAnsi="Courier New"/>
          <w:sz w:val="16"/>
          <w:szCs w:val="16"/>
          <w:color w:val="auto"/>
        </w:rPr>
        <w:t>THE SCOTTS COMPANY UNION RETIREMENT SAVINGS PLAN</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NOTES TO FINANCIAL STATEMENTS</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DECEMBER 31, 2001 AND 2000</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881" w:hanging="881"/>
        <w:spacing w:after="0"/>
        <w:tabs>
          <w:tab w:leader="none" w:pos="8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DESCRIPTION</w:t>
      </w:r>
    </w:p>
    <w:p>
      <w:pPr>
        <w:spacing w:after="0" w:line="191" w:lineRule="exact"/>
        <w:rPr>
          <w:rFonts w:ascii="Courier New" w:cs="Courier New" w:eastAsia="Courier New" w:hAnsi="Courier New"/>
          <w:sz w:val="16"/>
          <w:szCs w:val="16"/>
          <w:color w:val="auto"/>
        </w:rPr>
      </w:pPr>
    </w:p>
    <w:p>
      <w:pPr>
        <w:ind w:left="881" w:right="25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January 1, 2000, The Scotts Company Union Retirement Savings Plan (the "Plan"), a contributory defined contribution benefit plan, was established by the Plan's sponsor, The Scotts Company (the "Company"). The Plan is a contributory defined contribution benefit plan sponsored by The Scotts Company. The following brief description of the Plan provides only general information. Participants should refer to the Plan document for a more complete description of Plan provisions, such as eligibility, vesting, allocation and funding.</w:t>
      </w:r>
    </w:p>
    <w:p>
      <w:pPr>
        <w:spacing w:after="0" w:line="190" w:lineRule="exact"/>
        <w:rPr>
          <w:rFonts w:ascii="Courier New" w:cs="Courier New" w:eastAsia="Courier New" w:hAnsi="Courier New"/>
          <w:sz w:val="16"/>
          <w:szCs w:val="16"/>
          <w:color w:val="auto"/>
        </w:rPr>
      </w:pPr>
    </w:p>
    <w:p>
      <w:pPr>
        <w:ind w:left="8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w:t>
      </w:r>
    </w:p>
    <w:p>
      <w:pPr>
        <w:spacing w:after="0" w:line="191" w:lineRule="exact"/>
        <w:rPr>
          <w:rFonts w:ascii="Courier New" w:cs="Courier New" w:eastAsia="Courier New" w:hAnsi="Courier New"/>
          <w:sz w:val="16"/>
          <w:szCs w:val="16"/>
          <w:color w:val="auto"/>
        </w:rPr>
      </w:pPr>
    </w:p>
    <w:p>
      <w:pPr>
        <w:ind w:left="881"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Certain regular domestic Union employees of the Company are eligible to participate in the Plan on the first day of the month immediately following or coincident with their date of employment. Certain temporary domestic Union employees are eligible to participate on the January 1 or July 1 subsequent to completing one year of eligibility service and attaining age 21.</w:t>
      </w:r>
    </w:p>
    <w:p>
      <w:pPr>
        <w:spacing w:after="0" w:line="185" w:lineRule="exact"/>
        <w:rPr>
          <w:rFonts w:ascii="Courier New" w:cs="Courier New" w:eastAsia="Courier New" w:hAnsi="Courier New"/>
          <w:sz w:val="16"/>
          <w:szCs w:val="16"/>
          <w:color w:val="auto"/>
        </w:rPr>
      </w:pPr>
    </w:p>
    <w:p>
      <w:pPr>
        <w:ind w:left="8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CONTRIBUTIONS</w:t>
      </w:r>
    </w:p>
    <w:p>
      <w:pPr>
        <w:spacing w:after="0" w:line="191" w:lineRule="exact"/>
        <w:rPr>
          <w:rFonts w:ascii="Courier New" w:cs="Courier New" w:eastAsia="Courier New" w:hAnsi="Courier New"/>
          <w:sz w:val="16"/>
          <w:szCs w:val="16"/>
          <w:color w:val="auto"/>
        </w:rPr>
      </w:pPr>
    </w:p>
    <w:p>
      <w:pPr>
        <w:ind w:left="881" w:right="28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provides for a participant to make pre-tax or after-tax contributions up to 15% of eligible wages, not to exceed the annual Internal Revenue Service (IRS) maximum deferral amount.</w:t>
      </w:r>
    </w:p>
    <w:p>
      <w:pPr>
        <w:spacing w:after="0" w:line="185" w:lineRule="exact"/>
        <w:rPr>
          <w:rFonts w:ascii="Courier New" w:cs="Courier New" w:eastAsia="Courier New" w:hAnsi="Courier New"/>
          <w:sz w:val="16"/>
          <w:szCs w:val="16"/>
          <w:color w:val="auto"/>
        </w:rPr>
      </w:pPr>
    </w:p>
    <w:p>
      <w:pPr>
        <w:ind w:left="8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EMPLOYER CONTRIBUTIONS</w:t>
      </w:r>
    </w:p>
    <w:p>
      <w:pPr>
        <w:spacing w:after="0" w:line="191" w:lineRule="exact"/>
        <w:rPr>
          <w:rFonts w:ascii="Courier New" w:cs="Courier New" w:eastAsia="Courier New" w:hAnsi="Courier New"/>
          <w:sz w:val="16"/>
          <w:szCs w:val="16"/>
          <w:color w:val="auto"/>
        </w:rPr>
      </w:pPr>
    </w:p>
    <w:p>
      <w:pPr>
        <w:ind w:left="881"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provides a base retirement contribution for all eligible employees. Generally, eligible employees receive an allocation equal to 2% of monthly compensation. The Company also matches participant contributions $0.50 on the dollar for the first 2% of participant contributions.</w:t>
      </w:r>
    </w:p>
    <w:p>
      <w:pPr>
        <w:spacing w:after="0" w:line="185" w:lineRule="exact"/>
        <w:rPr>
          <w:rFonts w:ascii="Courier New" w:cs="Courier New" w:eastAsia="Courier New" w:hAnsi="Courier New"/>
          <w:sz w:val="16"/>
          <w:szCs w:val="16"/>
          <w:color w:val="auto"/>
        </w:rPr>
      </w:pPr>
    </w:p>
    <w:p>
      <w:pPr>
        <w:ind w:left="8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VESTING</w:t>
      </w:r>
    </w:p>
    <w:p>
      <w:pPr>
        <w:spacing w:after="0" w:line="191" w:lineRule="exact"/>
        <w:rPr>
          <w:rFonts w:ascii="Courier New" w:cs="Courier New" w:eastAsia="Courier New" w:hAnsi="Courier New"/>
          <w:sz w:val="16"/>
          <w:szCs w:val="16"/>
          <w:color w:val="auto"/>
        </w:rPr>
      </w:pPr>
    </w:p>
    <w:p>
      <w:pPr>
        <w:ind w:left="881"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Participants are immediately vested in their contributions plus actual earnings thereon. Matching contributions made by the Company vest immediately. However, base contributions made by the Company vest after three years of service, or upon attainment of age 65 prior to terminating employment.</w:t>
      </w:r>
    </w:p>
    <w:p>
      <w:pPr>
        <w:spacing w:after="0" w:line="185" w:lineRule="exact"/>
        <w:rPr>
          <w:rFonts w:ascii="Courier New" w:cs="Courier New" w:eastAsia="Courier New" w:hAnsi="Courier New"/>
          <w:sz w:val="16"/>
          <w:szCs w:val="16"/>
          <w:color w:val="auto"/>
        </w:rPr>
      </w:pPr>
    </w:p>
    <w:p>
      <w:pPr>
        <w:ind w:left="8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FORFEITURES</w:t>
      </w:r>
    </w:p>
    <w:p>
      <w:pPr>
        <w:spacing w:after="0" w:line="191" w:lineRule="exact"/>
        <w:rPr>
          <w:rFonts w:ascii="Courier New" w:cs="Courier New" w:eastAsia="Courier New" w:hAnsi="Courier New"/>
          <w:sz w:val="16"/>
          <w:szCs w:val="16"/>
          <w:color w:val="auto"/>
        </w:rPr>
      </w:pPr>
    </w:p>
    <w:p>
      <w:pPr>
        <w:ind w:left="881"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nonvested portions of participant account balances are forfeitable and used to reduce employer contributions to the Plan. Plan forfeitures totaled $3,883 for the year ended December 31, 2001 and $427 for the year ended December 31, 2000.</w:t>
      </w:r>
    </w:p>
    <w:p>
      <w:pPr>
        <w:spacing w:after="0" w:line="185" w:lineRule="exact"/>
        <w:rPr>
          <w:rFonts w:ascii="Courier New" w:cs="Courier New" w:eastAsia="Courier New" w:hAnsi="Courier New"/>
          <w:sz w:val="16"/>
          <w:szCs w:val="16"/>
          <w:color w:val="auto"/>
        </w:rPr>
      </w:pPr>
    </w:p>
    <w:p>
      <w:pPr>
        <w:ind w:left="8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w:t>
      </w:r>
    </w:p>
    <w:p>
      <w:pPr>
        <w:spacing w:after="0" w:line="191" w:lineRule="exact"/>
        <w:rPr>
          <w:rFonts w:ascii="Courier New" w:cs="Courier New" w:eastAsia="Courier New" w:hAnsi="Courier New"/>
          <w:sz w:val="16"/>
          <w:szCs w:val="16"/>
          <w:color w:val="auto"/>
        </w:rPr>
      </w:pPr>
    </w:p>
    <w:p>
      <w:pPr>
        <w:ind w:left="881"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All investments are participant-directed. Participants can change their investment options on a daily basis. The following investment options are available to participants:</w:t>
      </w:r>
    </w:p>
    <w:p>
      <w:pPr>
        <w:spacing w:after="0" w:line="185" w:lineRule="exact"/>
        <w:rPr>
          <w:rFonts w:ascii="Courier New" w:cs="Courier New" w:eastAsia="Courier New" w:hAnsi="Courier New"/>
          <w:sz w:val="16"/>
          <w:szCs w:val="16"/>
          <w:color w:val="auto"/>
        </w:rPr>
      </w:pPr>
    </w:p>
    <w:p>
      <w:pPr>
        <w:ind w:left="1741" w:right="2559" w:hanging="869"/>
        <w:spacing w:after="0" w:line="247" w:lineRule="auto"/>
        <w:tabs>
          <w:tab w:leader="none" w:pos="174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FIDELITY PURITAN FUND--assets are invested in high-yielding U.S. and foreign securities, common and preferred stocks, and bonds of any maturity.</w:t>
      </w:r>
    </w:p>
    <w:p>
      <w:pPr>
        <w:spacing w:after="0" w:line="185" w:lineRule="exact"/>
        <w:rPr>
          <w:rFonts w:ascii="Courier New" w:cs="Courier New" w:eastAsia="Courier New" w:hAnsi="Courier New"/>
          <w:sz w:val="16"/>
          <w:szCs w:val="16"/>
          <w:color w:val="auto"/>
        </w:rPr>
      </w:pPr>
    </w:p>
    <w:p>
      <w:pPr>
        <w:ind w:left="1741" w:right="2459" w:hanging="869"/>
        <w:spacing w:after="0" w:line="248" w:lineRule="auto"/>
        <w:tabs>
          <w:tab w:leader="none" w:pos="174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FIDELITY CONTRAFUND--assets are primarily invested in U.S. and foreign common stocks that are believed to be undervalued.</w:t>
      </w:r>
    </w:p>
    <w:p>
      <w:pPr>
        <w:spacing w:after="0" w:line="184" w:lineRule="exact"/>
        <w:rPr>
          <w:rFonts w:ascii="Courier New" w:cs="Courier New" w:eastAsia="Courier New" w:hAnsi="Courier New"/>
          <w:sz w:val="16"/>
          <w:szCs w:val="16"/>
          <w:color w:val="auto"/>
        </w:rPr>
      </w:pPr>
    </w:p>
    <w:p>
      <w:pPr>
        <w:ind w:left="1741" w:right="2459" w:hanging="869"/>
        <w:spacing w:after="0" w:line="247" w:lineRule="auto"/>
        <w:tabs>
          <w:tab w:leader="none" w:pos="174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FIDELITY BLUE CHIP FUND--assets are primarily invested in common stock of established and/or rapidly growing companies. Approximately 65% of this fund's total assets invest in common stock of blue chip companies.</w:t>
      </w:r>
    </w:p>
    <w:p>
      <w:pPr>
        <w:spacing w:after="0" w:line="371" w:lineRule="exact"/>
        <w:rPr>
          <w:rFonts w:ascii="Courier New" w:cs="Courier New" w:eastAsia="Courier New" w:hAnsi="Courier New"/>
          <w:sz w:val="16"/>
          <w:szCs w:val="16"/>
          <w:color w:val="auto"/>
        </w:rPr>
      </w:pPr>
    </w:p>
    <w:p>
      <w:pPr>
        <w:ind w:left="1741" w:right="2859" w:hanging="869"/>
        <w:spacing w:after="0" w:line="248" w:lineRule="auto"/>
        <w:tabs>
          <w:tab w:leader="none" w:pos="174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FIDELITY WORLDWIDE FUND--assets are invested in stocks and other securities of companies located around the world.</w:t>
      </w:r>
    </w:p>
    <w:p>
      <w:pPr>
        <w:spacing w:after="0" w:line="371"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0"/>
          </w:cols>
          <w:pgMar w:left="239" w:top="676" w:right="1440" w:bottom="881" w:gutter="0" w:footer="0" w:header="0"/>
        </w:sectPr>
      </w:pPr>
    </w:p>
    <w:bookmarkStart w:id="6" w:name="page7"/>
    <w:bookmarkEnd w:id="6"/>
    <w:p>
      <w:pPr>
        <w:ind w:left="1"/>
        <w:spacing w:after="0"/>
        <w:rPr>
          <w:sz w:val="20"/>
          <w:szCs w:val="20"/>
          <w:color w:val="auto"/>
        </w:rPr>
      </w:pPr>
      <w:r>
        <w:rPr>
          <w:rFonts w:ascii="Courier New" w:cs="Courier New" w:eastAsia="Courier New" w:hAnsi="Courier New"/>
          <w:sz w:val="16"/>
          <w:szCs w:val="16"/>
          <w:color w:val="auto"/>
        </w:rPr>
        <w:t>THE SCOTTS COMPANY UNION RETIREMENT SAVINGS PLAN</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NOTES TO FINANCIAL STATEMENTS</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DECEMBER 31, 2001 AND 2000</w:t>
      </w:r>
    </w:p>
    <w:p>
      <w:pPr>
        <w:spacing w:after="0" w:line="5" w:lineRule="exact"/>
        <w:rPr>
          <w:sz w:val="20"/>
          <w:szCs w:val="20"/>
          <w:color w:val="auto"/>
        </w:rPr>
      </w:pPr>
    </w:p>
    <w:p>
      <w:pPr>
        <w:ind w:left="201" w:hanging="201"/>
        <w:spacing w:after="0"/>
        <w:tabs>
          <w:tab w:leader="none" w:pos="20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1741" w:right="2459" w:hanging="869"/>
        <w:spacing w:after="0" w:line="247" w:lineRule="auto"/>
        <w:tabs>
          <w:tab w:leader="none" w:pos="1741"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FIDELITY FREEDOM INCOME FUND--assets are primarily invested in bond and money market funds. A smaller percentage of assets are invested in equity mutual funds.</w:t>
      </w:r>
    </w:p>
    <w:p>
      <w:pPr>
        <w:spacing w:after="0" w:line="185" w:lineRule="exact"/>
        <w:rPr>
          <w:rFonts w:ascii="Courier New" w:cs="Courier New" w:eastAsia="Courier New" w:hAnsi="Courier New"/>
          <w:sz w:val="16"/>
          <w:szCs w:val="16"/>
          <w:color w:val="auto"/>
        </w:rPr>
      </w:pPr>
    </w:p>
    <w:p>
      <w:pPr>
        <w:ind w:left="1741" w:right="2759" w:hanging="869"/>
        <w:spacing w:after="0" w:line="247" w:lineRule="auto"/>
        <w:tabs>
          <w:tab w:leader="none" w:pos="1741"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FIDELITY FREEDOM 2000 FUND--assets are invested in a combination of equity, fixed income and money market mutual funds of Fidelity Investments. Assets are allocated among these funds according to an asset allocation strategy which becomes more conservative over time.</w:t>
      </w:r>
    </w:p>
    <w:p>
      <w:pPr>
        <w:spacing w:after="0" w:line="185" w:lineRule="exact"/>
        <w:rPr>
          <w:rFonts w:ascii="Courier New" w:cs="Courier New" w:eastAsia="Courier New" w:hAnsi="Courier New"/>
          <w:sz w:val="16"/>
          <w:szCs w:val="16"/>
          <w:color w:val="auto"/>
        </w:rPr>
      </w:pPr>
    </w:p>
    <w:p>
      <w:pPr>
        <w:ind w:left="1741" w:right="2759" w:hanging="869"/>
        <w:spacing w:after="0" w:line="247" w:lineRule="auto"/>
        <w:tabs>
          <w:tab w:leader="none" w:pos="1741"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FIDELITY FREEDOM 2010 FUND--assets are invested in a combination of equity, fixed income and money market mutual funds of Fidelity Investments. The asset mix becomes more conservative as year 2010 approaches.</w:t>
      </w:r>
    </w:p>
    <w:p>
      <w:pPr>
        <w:spacing w:after="0" w:line="185" w:lineRule="exact"/>
        <w:rPr>
          <w:rFonts w:ascii="Courier New" w:cs="Courier New" w:eastAsia="Courier New" w:hAnsi="Courier New"/>
          <w:sz w:val="16"/>
          <w:szCs w:val="16"/>
          <w:color w:val="auto"/>
        </w:rPr>
      </w:pPr>
    </w:p>
    <w:p>
      <w:pPr>
        <w:ind w:left="1741" w:right="2759" w:hanging="869"/>
        <w:spacing w:after="0" w:line="247" w:lineRule="auto"/>
        <w:tabs>
          <w:tab w:leader="none" w:pos="1741"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FIDELITY FREEDOM 2020 FUND--assets are invested in a combination of equity, fixed income and money market mutual funds of Fidelity Investments. The asset mix becomes more conservative as year 2020 approaches.</w:t>
      </w:r>
    </w:p>
    <w:p>
      <w:pPr>
        <w:spacing w:after="0" w:line="185" w:lineRule="exact"/>
        <w:rPr>
          <w:rFonts w:ascii="Courier New" w:cs="Courier New" w:eastAsia="Courier New" w:hAnsi="Courier New"/>
          <w:sz w:val="16"/>
          <w:szCs w:val="16"/>
          <w:color w:val="auto"/>
        </w:rPr>
      </w:pPr>
    </w:p>
    <w:p>
      <w:pPr>
        <w:ind w:left="1741" w:right="2759" w:hanging="869"/>
        <w:spacing w:after="0" w:line="247" w:lineRule="auto"/>
        <w:tabs>
          <w:tab w:leader="none" w:pos="1741"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FIDELITY FREEDOM 2030 FUND--assets are invested in a combination of equity, fixed income and money market mutual funds. The asset mix becomes more conservative as year 2030 approaches.</w:t>
      </w:r>
    </w:p>
    <w:p>
      <w:pPr>
        <w:spacing w:after="0" w:line="185" w:lineRule="exact"/>
        <w:rPr>
          <w:rFonts w:ascii="Courier New" w:cs="Courier New" w:eastAsia="Courier New" w:hAnsi="Courier New"/>
          <w:sz w:val="16"/>
          <w:szCs w:val="16"/>
          <w:color w:val="auto"/>
        </w:rPr>
      </w:pPr>
    </w:p>
    <w:p>
      <w:pPr>
        <w:ind w:left="1741" w:right="2459" w:hanging="869"/>
        <w:spacing w:after="0" w:line="247" w:lineRule="auto"/>
        <w:tabs>
          <w:tab w:leader="none" w:pos="1741"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FIDELITY MANAGED INCOME PORTFOLIO--assets are invested in investment contracts of major insurance companies and other approved financial institutions, and in other fixed income securities. A small percentage of assets are invested in money market funds to provide daily liquidity.</w:t>
      </w:r>
    </w:p>
    <w:p>
      <w:pPr>
        <w:spacing w:after="0" w:line="185" w:lineRule="exact"/>
        <w:rPr>
          <w:rFonts w:ascii="Courier New" w:cs="Courier New" w:eastAsia="Courier New" w:hAnsi="Courier New"/>
          <w:sz w:val="16"/>
          <w:szCs w:val="16"/>
          <w:color w:val="auto"/>
        </w:rPr>
      </w:pPr>
    </w:p>
    <w:p>
      <w:pPr>
        <w:ind w:left="1741" w:right="2559" w:hanging="869"/>
        <w:spacing w:after="0" w:line="247" w:lineRule="auto"/>
        <w:tabs>
          <w:tab w:leader="none" w:pos="1741"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SPARTAN U.S. EQUITY INDEX FUND--assets are invested in stocks and in approximately the same proportions as the Standard &amp; Poor's 500 Stock Index.</w:t>
      </w:r>
    </w:p>
    <w:p>
      <w:pPr>
        <w:spacing w:after="0" w:line="185" w:lineRule="exact"/>
        <w:rPr>
          <w:rFonts w:ascii="Courier New" w:cs="Courier New" w:eastAsia="Courier New" w:hAnsi="Courier New"/>
          <w:sz w:val="16"/>
          <w:szCs w:val="16"/>
          <w:color w:val="auto"/>
        </w:rPr>
      </w:pPr>
    </w:p>
    <w:p>
      <w:pPr>
        <w:ind w:left="1741" w:right="2659" w:hanging="869"/>
        <w:spacing w:after="0" w:line="247" w:lineRule="auto"/>
        <w:tabs>
          <w:tab w:leader="none" w:pos="1741"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BARON ASSET FUND--assets are invested in stocks with prices perceived as low relative to the related companies' profits, assets, and other value measures.</w:t>
      </w:r>
    </w:p>
    <w:p>
      <w:pPr>
        <w:spacing w:after="0" w:line="185" w:lineRule="exact"/>
        <w:rPr>
          <w:rFonts w:ascii="Courier New" w:cs="Courier New" w:eastAsia="Courier New" w:hAnsi="Courier New"/>
          <w:sz w:val="16"/>
          <w:szCs w:val="16"/>
          <w:color w:val="auto"/>
        </w:rPr>
      </w:pPr>
    </w:p>
    <w:p>
      <w:pPr>
        <w:ind w:left="1741" w:right="2559" w:hanging="869"/>
        <w:spacing w:after="0" w:line="247" w:lineRule="auto"/>
        <w:tabs>
          <w:tab w:leader="none" w:pos="1741"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PIMCO TOTAL RETURN FUND--assets are invested in various types of bonds, including U.S. government, corporate, mortgage, and foreign bonds with an average portfolio duration of three to six years (approximately equal to an average maturity of five to twelve years).</w:t>
      </w:r>
    </w:p>
    <w:p>
      <w:pPr>
        <w:spacing w:after="0" w:line="185" w:lineRule="exact"/>
        <w:rPr>
          <w:rFonts w:ascii="Courier New" w:cs="Courier New" w:eastAsia="Courier New" w:hAnsi="Courier New"/>
          <w:sz w:val="16"/>
          <w:szCs w:val="16"/>
          <w:color w:val="auto"/>
        </w:rPr>
      </w:pPr>
    </w:p>
    <w:p>
      <w:pPr>
        <w:ind w:left="1741" w:right="2959" w:hanging="869"/>
        <w:spacing w:after="0" w:line="248" w:lineRule="auto"/>
        <w:tabs>
          <w:tab w:leader="none" w:pos="1741"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SCOTTS COMPANY SHARES--assets consist entirely of The Scotts Company common shares and cash equivalents.</w:t>
      </w:r>
    </w:p>
    <w:p>
      <w:pPr>
        <w:spacing w:after="0" w:line="184"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BENEFIT PAYMENTS</w:t>
      </w:r>
    </w:p>
    <w:p>
      <w:pPr>
        <w:spacing w:after="0" w:line="191" w:lineRule="exact"/>
        <w:rPr>
          <w:sz w:val="20"/>
          <w:szCs w:val="20"/>
          <w:color w:val="auto"/>
        </w:rPr>
      </w:pPr>
    </w:p>
    <w:p>
      <w:pPr>
        <w:ind w:left="881" w:right="2459"/>
        <w:spacing w:after="0" w:line="247" w:lineRule="auto"/>
        <w:rPr>
          <w:sz w:val="20"/>
          <w:szCs w:val="20"/>
          <w:color w:val="auto"/>
        </w:rPr>
      </w:pPr>
      <w:r>
        <w:rPr>
          <w:rFonts w:ascii="Courier New" w:cs="Courier New" w:eastAsia="Courier New" w:hAnsi="Courier New"/>
          <w:sz w:val="16"/>
          <w:szCs w:val="16"/>
          <w:color w:val="auto"/>
        </w:rPr>
        <w:t>Participants are eligible to receive benefit payments upon termination, retirement, death or disability equal to the vested balance of the participant's account as of the business day the trustee processes the distribution. The Plan also provides for hardship and in-service withdrawals for active employees under certain circumstances.</w:t>
      </w:r>
    </w:p>
    <w:p>
      <w:pPr>
        <w:spacing w:after="0" w:line="185"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PARTICIPANT LOANS</w:t>
      </w:r>
    </w:p>
    <w:p>
      <w:pPr>
        <w:spacing w:after="0" w:line="191" w:lineRule="exact"/>
        <w:rPr>
          <w:sz w:val="20"/>
          <w:szCs w:val="20"/>
          <w:color w:val="auto"/>
        </w:rPr>
      </w:pPr>
    </w:p>
    <w:p>
      <w:pPr>
        <w:ind w:left="1" w:right="2959" w:firstLine="872"/>
        <w:spacing w:after="0" w:line="248" w:lineRule="auto"/>
        <w:rPr>
          <w:sz w:val="20"/>
          <w:szCs w:val="20"/>
          <w:color w:val="auto"/>
        </w:rPr>
      </w:pPr>
      <w:r>
        <w:rPr>
          <w:rFonts w:ascii="Courier New" w:cs="Courier New" w:eastAsia="Courier New" w:hAnsi="Courier New"/>
          <w:sz w:val="16"/>
          <w:szCs w:val="16"/>
          <w:color w:val="auto"/>
        </w:rPr>
        <w:t>Loans are available to participants from their individual accounts subject to the terms of the Plan.</w:t>
      </w:r>
    </w:p>
    <w:p>
      <w:pPr>
        <w:spacing w:after="0" w:line="200" w:lineRule="exact"/>
        <w:rPr>
          <w:sz w:val="20"/>
          <w:szCs w:val="20"/>
          <w:color w:val="auto"/>
        </w:rPr>
      </w:pPr>
    </w:p>
    <w:p>
      <w:pPr>
        <w:spacing w:after="0" w:line="357"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0"/>
          </w:cols>
          <w:pgMar w:left="239" w:top="676" w:right="1440" w:bottom="1440" w:gutter="0" w:footer="0" w:header="0"/>
        </w:sectPr>
      </w:pPr>
    </w:p>
    <w:bookmarkStart w:id="7" w:name="page8"/>
    <w:bookmarkEnd w:id="7"/>
    <w:p>
      <w:pPr>
        <w:ind w:left="1"/>
        <w:spacing w:after="0"/>
        <w:rPr>
          <w:sz w:val="20"/>
          <w:szCs w:val="20"/>
          <w:color w:val="auto"/>
        </w:rPr>
      </w:pPr>
      <w:r>
        <w:rPr>
          <w:rFonts w:ascii="Courier New" w:cs="Courier New" w:eastAsia="Courier New" w:hAnsi="Courier New"/>
          <w:sz w:val="16"/>
          <w:szCs w:val="16"/>
          <w:color w:val="auto"/>
        </w:rPr>
        <w:t>THE SCOTTS COMPANY UNION RETIREMENT SAVINGS PLAN</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NOTES TO FINANCIAL STATEMENTS</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DECEMBER 31, 2001 AND 2000</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881" w:right="5279" w:hanging="881"/>
        <w:spacing w:after="0" w:line="493" w:lineRule="auto"/>
        <w:tabs>
          <w:tab w:leader="none" w:pos="8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 BASIS OF ACCOUNTING</w:t>
      </w:r>
    </w:p>
    <w:p>
      <w:pPr>
        <w:ind w:left="881"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financial statements of the Plan have been prepared on the accrual basis of accounting in accordance with generally accepted accounting principles.</w:t>
      </w:r>
    </w:p>
    <w:p>
      <w:pPr>
        <w:spacing w:after="0" w:line="185" w:lineRule="exact"/>
        <w:rPr>
          <w:rFonts w:ascii="Courier New" w:cs="Courier New" w:eastAsia="Courier New" w:hAnsi="Courier New"/>
          <w:sz w:val="16"/>
          <w:szCs w:val="16"/>
          <w:color w:val="auto"/>
        </w:rPr>
      </w:pPr>
    </w:p>
    <w:p>
      <w:pPr>
        <w:ind w:left="8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w:t>
      </w:r>
    </w:p>
    <w:p>
      <w:pPr>
        <w:spacing w:after="0" w:line="191" w:lineRule="exact"/>
        <w:rPr>
          <w:rFonts w:ascii="Courier New" w:cs="Courier New" w:eastAsia="Courier New" w:hAnsi="Courier New"/>
          <w:sz w:val="16"/>
          <w:szCs w:val="16"/>
          <w:color w:val="auto"/>
        </w:rPr>
      </w:pPr>
    </w:p>
    <w:p>
      <w:pPr>
        <w:ind w:left="881"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Excluding participant loans, investments are stated at quoted market prices. Participants' loans are valued at cost, which approximates fair value.</w:t>
      </w:r>
    </w:p>
    <w:p>
      <w:pPr>
        <w:spacing w:after="0" w:line="185" w:lineRule="exact"/>
        <w:rPr>
          <w:rFonts w:ascii="Courier New" w:cs="Courier New" w:eastAsia="Courier New" w:hAnsi="Courier New"/>
          <w:sz w:val="16"/>
          <w:szCs w:val="16"/>
          <w:color w:val="auto"/>
        </w:rPr>
      </w:pPr>
    </w:p>
    <w:p>
      <w:pPr>
        <w:ind w:left="8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ADMINISTRATIVE EXPENSES</w:t>
      </w:r>
    </w:p>
    <w:p>
      <w:pPr>
        <w:spacing w:after="0" w:line="191" w:lineRule="exact"/>
        <w:rPr>
          <w:rFonts w:ascii="Courier New" w:cs="Courier New" w:eastAsia="Courier New" w:hAnsi="Courier New"/>
          <w:sz w:val="16"/>
          <w:szCs w:val="16"/>
          <w:color w:val="auto"/>
        </w:rPr>
      </w:pPr>
    </w:p>
    <w:p>
      <w:pPr>
        <w:ind w:left="881" w:right="25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pays for all administrative fees except those that are participant specific, such as loan establishment and maintenance fees.</w:t>
      </w:r>
    </w:p>
    <w:p>
      <w:pPr>
        <w:spacing w:after="0" w:line="184" w:lineRule="exact"/>
        <w:rPr>
          <w:rFonts w:ascii="Courier New" w:cs="Courier New" w:eastAsia="Courier New" w:hAnsi="Courier New"/>
          <w:sz w:val="16"/>
          <w:szCs w:val="16"/>
          <w:color w:val="auto"/>
        </w:rPr>
      </w:pPr>
    </w:p>
    <w:p>
      <w:pPr>
        <w:ind w:left="8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OF BENEFITS</w:t>
      </w:r>
    </w:p>
    <w:p>
      <w:pPr>
        <w:spacing w:after="0" w:line="191" w:lineRule="exact"/>
        <w:rPr>
          <w:rFonts w:ascii="Courier New" w:cs="Courier New" w:eastAsia="Courier New" w:hAnsi="Courier New"/>
          <w:sz w:val="16"/>
          <w:szCs w:val="16"/>
          <w:color w:val="auto"/>
        </w:rPr>
      </w:pPr>
    </w:p>
    <w:p>
      <w:pPr>
        <w:ind w:left="8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Benefits are recorded when paid.</w:t>
      </w:r>
    </w:p>
    <w:p>
      <w:pPr>
        <w:spacing w:after="0" w:line="191" w:lineRule="exact"/>
        <w:rPr>
          <w:rFonts w:ascii="Courier New" w:cs="Courier New" w:eastAsia="Courier New" w:hAnsi="Courier New"/>
          <w:sz w:val="16"/>
          <w:szCs w:val="16"/>
          <w:color w:val="auto"/>
        </w:rPr>
      </w:pPr>
    </w:p>
    <w:p>
      <w:pPr>
        <w:ind w:left="8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USE OF ESTIMATES</w:t>
      </w:r>
    </w:p>
    <w:p>
      <w:pPr>
        <w:spacing w:after="0" w:line="191" w:lineRule="exact"/>
        <w:rPr>
          <w:rFonts w:ascii="Courier New" w:cs="Courier New" w:eastAsia="Courier New" w:hAnsi="Courier New"/>
          <w:sz w:val="16"/>
          <w:szCs w:val="16"/>
          <w:color w:val="auto"/>
        </w:rPr>
      </w:pPr>
    </w:p>
    <w:p>
      <w:pPr>
        <w:ind w:left="881" w:right="25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preparation of the Plan's financial statements in conformity with generally accepted accounting principles requires the Plan to make estimates and assumptions that affect the reported amounts of net assets available for benefits at the date of the financial statements, changes in net assets available for benefits during the reporting period and, when applicable, disclosures of contingent assets and liabilities at the date of the financial statements. Actual results could differ from those estimates.</w:t>
      </w:r>
    </w:p>
    <w:p>
      <w:pPr>
        <w:spacing w:after="0" w:line="190" w:lineRule="exact"/>
        <w:rPr>
          <w:rFonts w:ascii="Courier New" w:cs="Courier New" w:eastAsia="Courier New" w:hAnsi="Courier New"/>
          <w:sz w:val="16"/>
          <w:szCs w:val="16"/>
          <w:color w:val="auto"/>
        </w:rPr>
      </w:pPr>
    </w:p>
    <w:p>
      <w:pPr>
        <w:ind w:left="8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RISKS AND UNCERTAINTIES</w:t>
      </w:r>
    </w:p>
    <w:p>
      <w:pPr>
        <w:spacing w:after="0" w:line="191" w:lineRule="exact"/>
        <w:rPr>
          <w:rFonts w:ascii="Courier New" w:cs="Courier New" w:eastAsia="Courier New" w:hAnsi="Courier New"/>
          <w:sz w:val="16"/>
          <w:szCs w:val="16"/>
          <w:color w:val="auto"/>
        </w:rPr>
      </w:pPr>
    </w:p>
    <w:p>
      <w:pPr>
        <w:ind w:left="881"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provides for various investment options, which are subject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 account balances and the amounts reported in the statement of net assets available for benefits.</w:t>
      </w:r>
    </w:p>
    <w:p>
      <w:pPr>
        <w:spacing w:after="0" w:line="185" w:lineRule="exact"/>
        <w:rPr>
          <w:rFonts w:ascii="Courier New" w:cs="Courier New" w:eastAsia="Courier New" w:hAnsi="Courier New"/>
          <w:sz w:val="16"/>
          <w:szCs w:val="16"/>
          <w:color w:val="auto"/>
        </w:rPr>
      </w:pPr>
    </w:p>
    <w:p>
      <w:pPr>
        <w:ind w:left="881" w:hanging="881"/>
        <w:spacing w:after="0"/>
        <w:tabs>
          <w:tab w:leader="none" w:pos="8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MASTER TRUST</w:t>
      </w:r>
    </w:p>
    <w:p>
      <w:pPr>
        <w:spacing w:after="0" w:line="191" w:lineRule="exact"/>
        <w:rPr>
          <w:rFonts w:ascii="Courier New" w:cs="Courier New" w:eastAsia="Courier New" w:hAnsi="Courier New"/>
          <w:sz w:val="16"/>
          <w:szCs w:val="16"/>
          <w:color w:val="auto"/>
        </w:rPr>
      </w:pPr>
    </w:p>
    <w:p>
      <w:pPr>
        <w:ind w:left="881"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January 1, 2000, a master trust was established to invest certain assets of the Plan and certain assets of the Company's other defined contribution plan, The Scotts Company Retirement Savings Plan. Each plan's accounting is maintained separately; the respective plan's value is a percentage of the master trust. Plan activities, such as contributions and benefit payments, are recorded in the individual plan's accounting records.</w:t>
      </w:r>
    </w:p>
    <w:p>
      <w:pPr>
        <w:spacing w:after="0" w:line="200" w:lineRule="exact"/>
        <w:rPr>
          <w:sz w:val="20"/>
          <w:szCs w:val="20"/>
          <w:color w:val="auto"/>
        </w:rPr>
      </w:pPr>
    </w:p>
    <w:p>
      <w:pPr>
        <w:spacing w:after="0" w:line="358"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0"/>
          </w:cols>
          <w:pgMar w:left="239" w:top="676"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THE SCOTTS COMPANY UNION RETIREMENT SAVINGS PLAN</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FINANCIAL STATEMENTS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31, 2001 AND 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880" w:right="3860"/>
        <w:spacing w:after="0" w:line="247" w:lineRule="auto"/>
        <w:rPr>
          <w:sz w:val="20"/>
          <w:szCs w:val="20"/>
          <w:color w:val="auto"/>
        </w:rPr>
      </w:pPr>
      <w:r>
        <w:rPr>
          <w:rFonts w:ascii="Courier New" w:cs="Courier New" w:eastAsia="Courier New" w:hAnsi="Courier New"/>
          <w:sz w:val="16"/>
          <w:szCs w:val="16"/>
          <w:color w:val="auto"/>
        </w:rPr>
        <w:t>Net earnings of the master trust are allocated between the plans based on a weighted average of assets related to each plan. Total net earnings for the master trust for the year ended December 31, 2001 and 2000 are as follows: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2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NET</w:t>
            </w:r>
          </w:p>
        </w:tc>
        <w:tc>
          <w:tcPr>
            <w:tcW w:w="6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6"/>
        </w:trPr>
        <w:tc>
          <w:tcPr>
            <w:tcW w:w="3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2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APPRECIATION</w:t>
            </w:r>
          </w:p>
        </w:tc>
        <w:tc>
          <w:tcPr>
            <w:tcW w:w="6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6"/>
        </w:trPr>
        <w:tc>
          <w:tcPr>
            <w:tcW w:w="3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(DEPRECIATION)</w:t>
            </w:r>
          </w:p>
        </w:tc>
        <w:tc>
          <w:tcPr>
            <w:tcW w:w="6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6"/>
        </w:trPr>
        <w:tc>
          <w:tcPr>
            <w:tcW w:w="3480" w:type="dxa"/>
            <w:vAlign w:val="bottom"/>
          </w:tcPr>
          <w:p>
            <w:pPr>
              <w:spacing w:after="0"/>
              <w:rPr>
                <w:sz w:val="16"/>
                <w:szCs w:val="16"/>
                <w:color w:val="auto"/>
              </w:rPr>
            </w:pPr>
          </w:p>
        </w:tc>
        <w:tc>
          <w:tcPr>
            <w:tcW w:w="2100" w:type="dxa"/>
            <w:vAlign w:val="bottom"/>
            <w:gridSpan w:val="2"/>
          </w:tcPr>
          <w:p>
            <w:pPr>
              <w:jc w:val="right"/>
              <w:ind w:right="459"/>
              <w:spacing w:after="0"/>
              <w:rPr>
                <w:sz w:val="20"/>
                <w:szCs w:val="20"/>
                <w:color w:val="auto"/>
              </w:rPr>
            </w:pPr>
            <w:r>
              <w:rPr>
                <w:rFonts w:ascii="Courier New" w:cs="Courier New" w:eastAsia="Courier New" w:hAnsi="Courier New"/>
                <w:sz w:val="16"/>
                <w:szCs w:val="16"/>
                <w:color w:val="auto"/>
              </w:rPr>
              <w:t>INTEREST AND</w:t>
            </w:r>
          </w:p>
        </w:tc>
        <w:tc>
          <w:tcPr>
            <w:tcW w:w="2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IN FAIR VALUE</w:t>
            </w:r>
          </w:p>
        </w:tc>
        <w:tc>
          <w:tcPr>
            <w:tcW w:w="2240" w:type="dxa"/>
            <w:vAlign w:val="bottom"/>
            <w:gridSpan w:val="2"/>
          </w:tcPr>
          <w:p>
            <w:pPr>
              <w:jc w:val="center"/>
              <w:ind w:right="119"/>
              <w:spacing w:after="0"/>
              <w:rPr>
                <w:sz w:val="20"/>
                <w:szCs w:val="20"/>
                <w:color w:val="auto"/>
              </w:rPr>
            </w:pPr>
            <w:r>
              <w:rPr>
                <w:rFonts w:ascii="Courier New" w:cs="Courier New" w:eastAsia="Courier New" w:hAnsi="Courier New"/>
                <w:sz w:val="16"/>
                <w:szCs w:val="16"/>
                <w:color w:val="auto"/>
              </w:rPr>
              <w:t>ADMINISTRATION</w:t>
            </w:r>
          </w:p>
        </w:tc>
        <w:tc>
          <w:tcPr>
            <w:tcW w:w="6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6"/>
        </w:trPr>
        <w:tc>
          <w:tcPr>
            <w:tcW w:w="3480" w:type="dxa"/>
            <w:vAlign w:val="bottom"/>
          </w:tcPr>
          <w:p>
            <w:pPr>
              <w:ind w:left="300"/>
              <w:spacing w:after="0"/>
              <w:rPr>
                <w:sz w:val="20"/>
                <w:szCs w:val="20"/>
                <w:color w:val="auto"/>
              </w:rPr>
            </w:pPr>
            <w:r>
              <w:rPr>
                <w:rFonts w:ascii="Courier New" w:cs="Courier New" w:eastAsia="Courier New" w:hAnsi="Courier New"/>
                <w:sz w:val="16"/>
                <w:szCs w:val="16"/>
                <w:color w:val="auto"/>
              </w:rPr>
              <w:t>2001</w:t>
            </w:r>
          </w:p>
        </w:tc>
        <w:tc>
          <w:tcPr>
            <w:tcW w:w="580" w:type="dxa"/>
            <w:vAlign w:val="bottom"/>
          </w:tcPr>
          <w:p>
            <w:pPr>
              <w:spacing w:after="0"/>
              <w:rPr>
                <w:sz w:val="16"/>
                <w:szCs w:val="16"/>
                <w:color w:val="auto"/>
              </w:rPr>
            </w:pPr>
          </w:p>
        </w:tc>
        <w:tc>
          <w:tcPr>
            <w:tcW w:w="1520" w:type="dxa"/>
            <w:vAlign w:val="bottom"/>
          </w:tcPr>
          <w:p>
            <w:pPr>
              <w:spacing w:after="0"/>
              <w:rPr>
                <w:sz w:val="20"/>
                <w:szCs w:val="20"/>
                <w:color w:val="auto"/>
              </w:rPr>
            </w:pPr>
            <w:r>
              <w:rPr>
                <w:rFonts w:ascii="Courier New" w:cs="Courier New" w:eastAsia="Courier New" w:hAnsi="Courier New"/>
                <w:sz w:val="16"/>
                <w:szCs w:val="16"/>
                <w:color w:val="auto"/>
              </w:rPr>
              <w:t>DIVIDENDS</w:t>
            </w:r>
          </w:p>
        </w:tc>
        <w:tc>
          <w:tcPr>
            <w:tcW w:w="2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OF SECURITIES</w:t>
            </w:r>
          </w:p>
        </w:tc>
        <w:tc>
          <w:tcPr>
            <w:tcW w:w="640" w:type="dxa"/>
            <w:vAlign w:val="bottom"/>
          </w:tcPr>
          <w:p>
            <w:pPr>
              <w:spacing w:after="0"/>
              <w:rPr>
                <w:sz w:val="16"/>
                <w:szCs w:val="16"/>
                <w:color w:val="auto"/>
              </w:rPr>
            </w:pPr>
          </w:p>
        </w:tc>
        <w:tc>
          <w:tcPr>
            <w:tcW w:w="1600" w:type="dxa"/>
            <w:vAlign w:val="bottom"/>
          </w:tcPr>
          <w:p>
            <w:pPr>
              <w:jc w:val="center"/>
              <w:ind w:right="739"/>
              <w:spacing w:after="0"/>
              <w:rPr>
                <w:sz w:val="20"/>
                <w:szCs w:val="20"/>
                <w:color w:val="auto"/>
              </w:rPr>
            </w:pPr>
            <w:r>
              <w:rPr>
                <w:rFonts w:ascii="Courier New" w:cs="Courier New" w:eastAsia="Courier New" w:hAnsi="Courier New"/>
                <w:sz w:val="16"/>
                <w:szCs w:val="16"/>
                <w:color w:val="auto"/>
              </w:rPr>
              <w:t>EXPENSES</w:t>
            </w:r>
          </w:p>
        </w:tc>
        <w:tc>
          <w:tcPr>
            <w:tcW w:w="620" w:type="dxa"/>
            <w:vAlign w:val="bottom"/>
          </w:tcPr>
          <w:p>
            <w:pPr>
              <w:spacing w:after="0"/>
              <w:rPr>
                <w:sz w:val="16"/>
                <w:szCs w:val="16"/>
                <w:color w:val="auto"/>
              </w:rPr>
            </w:pPr>
          </w:p>
        </w:tc>
        <w:tc>
          <w:tcPr>
            <w:tcW w:w="10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TOTAL</w:t>
            </w:r>
          </w:p>
        </w:tc>
      </w:tr>
      <w:tr>
        <w:trPr>
          <w:trHeight w:val="186"/>
        </w:trPr>
        <w:tc>
          <w:tcPr>
            <w:tcW w:w="3480" w:type="dxa"/>
            <w:vAlign w:val="bottom"/>
          </w:tcPr>
          <w:p>
            <w:pPr>
              <w:spacing w:after="0"/>
              <w:rPr>
                <w:sz w:val="16"/>
                <w:szCs w:val="16"/>
                <w:color w:val="auto"/>
              </w:rPr>
            </w:pPr>
          </w:p>
        </w:tc>
        <w:tc>
          <w:tcPr>
            <w:tcW w:w="210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w:t>
            </w:r>
          </w:p>
        </w:tc>
        <w:tc>
          <w:tcPr>
            <w:tcW w:w="2240" w:type="dxa"/>
            <w:vAlign w:val="bottom"/>
            <w:gridSpan w:val="2"/>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3480" w:type="dxa"/>
            <w:vAlign w:val="bottom"/>
          </w:tcPr>
          <w:p>
            <w:pPr>
              <w:spacing w:after="0"/>
              <w:rPr>
                <w:sz w:val="20"/>
                <w:szCs w:val="20"/>
                <w:color w:val="auto"/>
              </w:rPr>
            </w:pPr>
            <w:r>
              <w:rPr>
                <w:rFonts w:ascii="Courier New" w:cs="Courier New" w:eastAsia="Courier New" w:hAnsi="Courier New"/>
                <w:sz w:val="16"/>
                <w:szCs w:val="16"/>
                <w:color w:val="auto"/>
              </w:rPr>
              <w:t>Mutual funds</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3,201,181</w:t>
            </w:r>
          </w:p>
        </w:tc>
        <w:tc>
          <w:tcPr>
            <w:tcW w:w="2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$(15,290,778)</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(14,345)</w:t>
            </w: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$(12,103,942)</w:t>
            </w:r>
          </w:p>
        </w:tc>
      </w:tr>
      <w:tr>
        <w:trPr>
          <w:trHeight w:val="186"/>
        </w:trPr>
        <w:tc>
          <w:tcPr>
            <w:tcW w:w="3480" w:type="dxa"/>
            <w:vAlign w:val="bottom"/>
          </w:tcPr>
          <w:p>
            <w:pPr>
              <w:spacing w:after="0"/>
              <w:rPr>
                <w:sz w:val="20"/>
                <w:szCs w:val="20"/>
                <w:color w:val="auto"/>
              </w:rPr>
            </w:pPr>
            <w:r>
              <w:rPr>
                <w:rFonts w:ascii="Courier New" w:cs="Courier New" w:eastAsia="Courier New" w:hAnsi="Courier New"/>
                <w:sz w:val="16"/>
                <w:szCs w:val="16"/>
                <w:color w:val="auto"/>
              </w:rPr>
              <w:t>Common trust fund</w:t>
            </w:r>
          </w:p>
        </w:tc>
        <w:tc>
          <w:tcPr>
            <w:tcW w:w="580" w:type="dxa"/>
            <w:vAlign w:val="bottom"/>
          </w:tcPr>
          <w:p>
            <w:pPr>
              <w:spacing w:after="0"/>
              <w:rPr>
                <w:sz w:val="16"/>
                <w:szCs w:val="16"/>
                <w:color w:val="auto"/>
              </w:rPr>
            </w:pPr>
          </w:p>
        </w:tc>
        <w:tc>
          <w:tcPr>
            <w:tcW w:w="15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858,935</w:t>
            </w:r>
          </w:p>
        </w:tc>
        <w:tc>
          <w:tcPr>
            <w:tcW w:w="202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16"/>
                <w:szCs w:val="16"/>
                <w:color w:val="auto"/>
              </w:rPr>
            </w:pPr>
          </w:p>
        </w:tc>
        <w:tc>
          <w:tcPr>
            <w:tcW w:w="16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(3,431)</w:t>
            </w:r>
          </w:p>
        </w:tc>
        <w:tc>
          <w:tcPr>
            <w:tcW w:w="6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855,504</w:t>
            </w:r>
          </w:p>
        </w:tc>
      </w:tr>
      <w:tr>
        <w:trPr>
          <w:trHeight w:val="186"/>
        </w:trPr>
        <w:tc>
          <w:tcPr>
            <w:tcW w:w="3480" w:type="dxa"/>
            <w:vAlign w:val="bottom"/>
          </w:tcPr>
          <w:p>
            <w:pPr>
              <w:spacing w:after="0"/>
              <w:rPr>
                <w:sz w:val="20"/>
                <w:szCs w:val="20"/>
                <w:color w:val="auto"/>
              </w:rPr>
            </w:pPr>
            <w:r>
              <w:rPr>
                <w:rFonts w:ascii="Courier New" w:cs="Courier New" w:eastAsia="Courier New" w:hAnsi="Courier New"/>
                <w:sz w:val="16"/>
                <w:szCs w:val="16"/>
                <w:color w:val="auto"/>
              </w:rPr>
              <w:t>The Scotts Company Common Shares</w:t>
            </w:r>
          </w:p>
        </w:tc>
        <w:tc>
          <w:tcPr>
            <w:tcW w:w="580" w:type="dxa"/>
            <w:vAlign w:val="bottom"/>
          </w:tcPr>
          <w:p>
            <w:pPr>
              <w:spacing w:after="0"/>
              <w:rPr>
                <w:sz w:val="16"/>
                <w:szCs w:val="16"/>
                <w:color w:val="auto"/>
              </w:rPr>
            </w:pPr>
          </w:p>
        </w:tc>
        <w:tc>
          <w:tcPr>
            <w:tcW w:w="15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23,687</w:t>
            </w:r>
          </w:p>
        </w:tc>
        <w:tc>
          <w:tcPr>
            <w:tcW w:w="202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2,054,105</w:t>
            </w:r>
          </w:p>
        </w:tc>
        <w:tc>
          <w:tcPr>
            <w:tcW w:w="640" w:type="dxa"/>
            <w:vAlign w:val="bottom"/>
          </w:tcPr>
          <w:p>
            <w:pPr>
              <w:spacing w:after="0"/>
              <w:rPr>
                <w:sz w:val="16"/>
                <w:szCs w:val="16"/>
                <w:color w:val="auto"/>
              </w:rPr>
            </w:pPr>
          </w:p>
        </w:tc>
        <w:tc>
          <w:tcPr>
            <w:tcW w:w="16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(1,750)</w:t>
            </w:r>
          </w:p>
        </w:tc>
        <w:tc>
          <w:tcPr>
            <w:tcW w:w="6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2,076,042</w:t>
            </w:r>
          </w:p>
        </w:tc>
      </w:tr>
      <w:tr>
        <w:trPr>
          <w:trHeight w:val="186"/>
        </w:trPr>
        <w:tc>
          <w:tcPr>
            <w:tcW w:w="3480" w:type="dxa"/>
            <w:vAlign w:val="bottom"/>
          </w:tcPr>
          <w:p>
            <w:pPr>
              <w:spacing w:after="0"/>
              <w:rPr>
                <w:sz w:val="20"/>
                <w:szCs w:val="20"/>
                <w:color w:val="auto"/>
              </w:rPr>
            </w:pPr>
            <w:r>
              <w:rPr>
                <w:rFonts w:ascii="Courier New" w:cs="Courier New" w:eastAsia="Courier New" w:hAnsi="Courier New"/>
                <w:sz w:val="16"/>
                <w:szCs w:val="16"/>
                <w:color w:val="auto"/>
              </w:rPr>
              <w:t>Loans to participants</w:t>
            </w:r>
          </w:p>
        </w:tc>
        <w:tc>
          <w:tcPr>
            <w:tcW w:w="580" w:type="dxa"/>
            <w:vAlign w:val="bottom"/>
          </w:tcPr>
          <w:p>
            <w:pPr>
              <w:spacing w:after="0"/>
              <w:rPr>
                <w:sz w:val="16"/>
                <w:szCs w:val="16"/>
                <w:color w:val="auto"/>
              </w:rPr>
            </w:pPr>
          </w:p>
        </w:tc>
        <w:tc>
          <w:tcPr>
            <w:tcW w:w="15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255,679</w:t>
            </w:r>
          </w:p>
        </w:tc>
        <w:tc>
          <w:tcPr>
            <w:tcW w:w="202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16"/>
                <w:szCs w:val="16"/>
                <w:color w:val="auto"/>
              </w:rPr>
            </w:pPr>
          </w:p>
        </w:tc>
        <w:tc>
          <w:tcPr>
            <w:tcW w:w="160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255,679</w:t>
            </w:r>
          </w:p>
        </w:tc>
      </w:tr>
      <w:tr>
        <w:trPr>
          <w:trHeight w:val="186"/>
        </w:trPr>
        <w:tc>
          <w:tcPr>
            <w:tcW w:w="3480" w:type="dxa"/>
            <w:vAlign w:val="bottom"/>
          </w:tcPr>
          <w:p>
            <w:pPr>
              <w:spacing w:after="0"/>
              <w:rPr>
                <w:sz w:val="16"/>
                <w:szCs w:val="16"/>
                <w:color w:val="auto"/>
              </w:rPr>
            </w:pPr>
          </w:p>
        </w:tc>
        <w:tc>
          <w:tcPr>
            <w:tcW w:w="210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w:t>
            </w:r>
          </w:p>
        </w:tc>
        <w:tc>
          <w:tcPr>
            <w:tcW w:w="2240" w:type="dxa"/>
            <w:vAlign w:val="bottom"/>
            <w:gridSpan w:val="2"/>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3480" w:type="dxa"/>
            <w:vAlign w:val="bottom"/>
          </w:tcPr>
          <w:p>
            <w:pPr>
              <w:ind w:left="300"/>
              <w:spacing w:after="0"/>
              <w:rPr>
                <w:sz w:val="20"/>
                <w:szCs w:val="20"/>
                <w:color w:val="auto"/>
              </w:rPr>
            </w:pPr>
            <w:r>
              <w:rPr>
                <w:rFonts w:ascii="Courier New" w:cs="Courier New" w:eastAsia="Courier New" w:hAnsi="Courier New"/>
                <w:sz w:val="16"/>
                <w:szCs w:val="16"/>
                <w:color w:val="auto"/>
              </w:rPr>
              <w:t>Total</w:t>
            </w:r>
          </w:p>
        </w:tc>
        <w:tc>
          <w:tcPr>
            <w:tcW w:w="580" w:type="dxa"/>
            <w:vAlign w:val="bottom"/>
          </w:tcPr>
          <w:p>
            <w:pPr>
              <w:spacing w:after="0"/>
              <w:rPr>
                <w:sz w:val="16"/>
                <w:szCs w:val="16"/>
                <w:color w:val="auto"/>
              </w:rPr>
            </w:pPr>
          </w:p>
        </w:tc>
        <w:tc>
          <w:tcPr>
            <w:tcW w:w="15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4,339,482</w:t>
            </w:r>
          </w:p>
        </w:tc>
        <w:tc>
          <w:tcPr>
            <w:tcW w:w="2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(13,236,673)</w:t>
            </w:r>
          </w:p>
        </w:tc>
        <w:tc>
          <w:tcPr>
            <w:tcW w:w="640" w:type="dxa"/>
            <w:vAlign w:val="bottom"/>
          </w:tcPr>
          <w:p>
            <w:pPr>
              <w:spacing w:after="0"/>
              <w:rPr>
                <w:sz w:val="16"/>
                <w:szCs w:val="16"/>
                <w:color w:val="auto"/>
              </w:rPr>
            </w:pPr>
          </w:p>
        </w:tc>
        <w:tc>
          <w:tcPr>
            <w:tcW w:w="16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(19,526)</w:t>
            </w: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(8,916,717)</w:t>
            </w:r>
          </w:p>
        </w:tc>
      </w:tr>
      <w:tr>
        <w:trPr>
          <w:trHeight w:val="186"/>
        </w:trPr>
        <w:tc>
          <w:tcPr>
            <w:tcW w:w="3480" w:type="dxa"/>
            <w:vAlign w:val="bottom"/>
          </w:tcPr>
          <w:p>
            <w:pPr>
              <w:spacing w:after="0"/>
              <w:rPr>
                <w:sz w:val="16"/>
                <w:szCs w:val="16"/>
                <w:color w:val="auto"/>
              </w:rPr>
            </w:pPr>
          </w:p>
        </w:tc>
        <w:tc>
          <w:tcPr>
            <w:tcW w:w="210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w:t>
            </w:r>
          </w:p>
        </w:tc>
        <w:tc>
          <w:tcPr>
            <w:tcW w:w="2240" w:type="dxa"/>
            <w:vAlign w:val="bottom"/>
            <w:gridSpan w:val="2"/>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932"/>
        </w:trPr>
        <w:tc>
          <w:tcPr>
            <w:tcW w:w="3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2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NET</w:t>
            </w:r>
          </w:p>
        </w:tc>
        <w:tc>
          <w:tcPr>
            <w:tcW w:w="6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6"/>
        </w:trPr>
        <w:tc>
          <w:tcPr>
            <w:tcW w:w="3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APPRECIATION</w:t>
            </w:r>
          </w:p>
        </w:tc>
        <w:tc>
          <w:tcPr>
            <w:tcW w:w="6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6"/>
        </w:trPr>
        <w:tc>
          <w:tcPr>
            <w:tcW w:w="3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(DEPRECIATION)</w:t>
            </w:r>
          </w:p>
        </w:tc>
        <w:tc>
          <w:tcPr>
            <w:tcW w:w="6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6"/>
        </w:trPr>
        <w:tc>
          <w:tcPr>
            <w:tcW w:w="3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520" w:type="dxa"/>
            <w:vAlign w:val="bottom"/>
          </w:tcPr>
          <w:p>
            <w:pPr>
              <w:spacing w:after="0"/>
              <w:rPr>
                <w:sz w:val="20"/>
                <w:szCs w:val="20"/>
                <w:color w:val="auto"/>
              </w:rPr>
            </w:pPr>
            <w:r>
              <w:rPr>
                <w:rFonts w:ascii="Courier New" w:cs="Courier New" w:eastAsia="Courier New" w:hAnsi="Courier New"/>
                <w:sz w:val="16"/>
                <w:szCs w:val="16"/>
                <w:color w:val="auto"/>
              </w:rPr>
              <w:t>INTEREST AND</w:t>
            </w:r>
          </w:p>
        </w:tc>
        <w:tc>
          <w:tcPr>
            <w:tcW w:w="2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IN FAIR VALUE</w:t>
            </w:r>
          </w:p>
        </w:tc>
        <w:tc>
          <w:tcPr>
            <w:tcW w:w="2240" w:type="dxa"/>
            <w:vAlign w:val="bottom"/>
            <w:gridSpan w:val="2"/>
          </w:tcPr>
          <w:p>
            <w:pPr>
              <w:jc w:val="center"/>
              <w:ind w:right="119"/>
              <w:spacing w:after="0"/>
              <w:rPr>
                <w:sz w:val="20"/>
                <w:szCs w:val="20"/>
                <w:color w:val="auto"/>
              </w:rPr>
            </w:pPr>
            <w:r>
              <w:rPr>
                <w:rFonts w:ascii="Courier New" w:cs="Courier New" w:eastAsia="Courier New" w:hAnsi="Courier New"/>
                <w:sz w:val="16"/>
                <w:szCs w:val="16"/>
                <w:color w:val="auto"/>
              </w:rPr>
              <w:t>ADMINISTRATION</w:t>
            </w:r>
          </w:p>
        </w:tc>
        <w:tc>
          <w:tcPr>
            <w:tcW w:w="6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6"/>
        </w:trPr>
        <w:tc>
          <w:tcPr>
            <w:tcW w:w="3480" w:type="dxa"/>
            <w:vAlign w:val="bottom"/>
          </w:tcPr>
          <w:p>
            <w:pPr>
              <w:ind w:left="300"/>
              <w:spacing w:after="0"/>
              <w:rPr>
                <w:sz w:val="20"/>
                <w:szCs w:val="20"/>
                <w:color w:val="auto"/>
              </w:rPr>
            </w:pPr>
            <w:r>
              <w:rPr>
                <w:rFonts w:ascii="Courier New" w:cs="Courier New" w:eastAsia="Courier New" w:hAnsi="Courier New"/>
                <w:sz w:val="16"/>
                <w:szCs w:val="16"/>
                <w:color w:val="auto"/>
              </w:rPr>
              <w:t>2000</w:t>
            </w:r>
          </w:p>
        </w:tc>
        <w:tc>
          <w:tcPr>
            <w:tcW w:w="580" w:type="dxa"/>
            <w:vAlign w:val="bottom"/>
          </w:tcPr>
          <w:p>
            <w:pPr>
              <w:spacing w:after="0"/>
              <w:rPr>
                <w:sz w:val="16"/>
                <w:szCs w:val="16"/>
                <w:color w:val="auto"/>
              </w:rPr>
            </w:pPr>
          </w:p>
        </w:tc>
        <w:tc>
          <w:tcPr>
            <w:tcW w:w="15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DIVIDENDS</w:t>
            </w:r>
          </w:p>
        </w:tc>
        <w:tc>
          <w:tcPr>
            <w:tcW w:w="2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OF SECURITIES</w:t>
            </w:r>
          </w:p>
        </w:tc>
        <w:tc>
          <w:tcPr>
            <w:tcW w:w="640" w:type="dxa"/>
            <w:vAlign w:val="bottom"/>
          </w:tcPr>
          <w:p>
            <w:pPr>
              <w:spacing w:after="0"/>
              <w:rPr>
                <w:sz w:val="16"/>
                <w:szCs w:val="16"/>
                <w:color w:val="auto"/>
              </w:rPr>
            </w:pPr>
          </w:p>
        </w:tc>
        <w:tc>
          <w:tcPr>
            <w:tcW w:w="160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EXPENSES</w:t>
            </w:r>
          </w:p>
        </w:tc>
        <w:tc>
          <w:tcPr>
            <w:tcW w:w="620" w:type="dxa"/>
            <w:vAlign w:val="bottom"/>
          </w:tcPr>
          <w:p>
            <w:pPr>
              <w:spacing w:after="0"/>
              <w:rPr>
                <w:sz w:val="16"/>
                <w:szCs w:val="16"/>
                <w:color w:val="auto"/>
              </w:rPr>
            </w:pPr>
          </w:p>
        </w:tc>
        <w:tc>
          <w:tcPr>
            <w:tcW w:w="10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TOTAL</w:t>
            </w:r>
          </w:p>
        </w:tc>
      </w:tr>
      <w:tr>
        <w:trPr>
          <w:trHeight w:val="186"/>
        </w:trPr>
        <w:tc>
          <w:tcPr>
            <w:tcW w:w="3480" w:type="dxa"/>
            <w:vAlign w:val="bottom"/>
          </w:tcPr>
          <w:p>
            <w:pPr>
              <w:spacing w:after="0"/>
              <w:rPr>
                <w:sz w:val="16"/>
                <w:szCs w:val="16"/>
                <w:color w:val="auto"/>
              </w:rPr>
            </w:pPr>
          </w:p>
        </w:tc>
        <w:tc>
          <w:tcPr>
            <w:tcW w:w="210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w:t>
            </w:r>
          </w:p>
        </w:tc>
        <w:tc>
          <w:tcPr>
            <w:tcW w:w="2240" w:type="dxa"/>
            <w:vAlign w:val="bottom"/>
            <w:gridSpan w:val="2"/>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3480" w:type="dxa"/>
            <w:vAlign w:val="bottom"/>
          </w:tcPr>
          <w:p>
            <w:pPr>
              <w:spacing w:after="0"/>
              <w:rPr>
                <w:sz w:val="20"/>
                <w:szCs w:val="20"/>
                <w:color w:val="auto"/>
              </w:rPr>
            </w:pPr>
            <w:r>
              <w:rPr>
                <w:rFonts w:ascii="Courier New" w:cs="Courier New" w:eastAsia="Courier New" w:hAnsi="Courier New"/>
                <w:sz w:val="16"/>
                <w:szCs w:val="16"/>
                <w:color w:val="auto"/>
              </w:rPr>
              <w:t>Mutual funds</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7,548,026</w:t>
            </w:r>
          </w:p>
        </w:tc>
        <w:tc>
          <w:tcPr>
            <w:tcW w:w="2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$(12,332,300)</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(14,347)</w:t>
            </w: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(4,798,621)</w:t>
            </w:r>
          </w:p>
        </w:tc>
      </w:tr>
      <w:tr>
        <w:trPr>
          <w:trHeight w:val="373"/>
        </w:trPr>
        <w:tc>
          <w:tcPr>
            <w:tcW w:w="3480" w:type="dxa"/>
            <w:vAlign w:val="bottom"/>
          </w:tcPr>
          <w:p>
            <w:pPr>
              <w:spacing w:after="0"/>
              <w:rPr>
                <w:sz w:val="20"/>
                <w:szCs w:val="20"/>
                <w:color w:val="auto"/>
              </w:rPr>
            </w:pPr>
            <w:r>
              <w:rPr>
                <w:rFonts w:ascii="Courier New" w:cs="Courier New" w:eastAsia="Courier New" w:hAnsi="Courier New"/>
                <w:sz w:val="16"/>
                <w:szCs w:val="16"/>
                <w:color w:val="auto"/>
              </w:rPr>
              <w:t>Common trust fund</w:t>
            </w:r>
          </w:p>
        </w:tc>
        <w:tc>
          <w:tcPr>
            <w:tcW w:w="580" w:type="dxa"/>
            <w:vAlign w:val="bottom"/>
          </w:tcPr>
          <w:p>
            <w:pPr>
              <w:spacing w:after="0"/>
              <w:rPr>
                <w:sz w:val="24"/>
                <w:szCs w:val="24"/>
                <w:color w:val="auto"/>
              </w:rPr>
            </w:pPr>
          </w:p>
        </w:tc>
        <w:tc>
          <w:tcPr>
            <w:tcW w:w="15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698,257</w:t>
            </w:r>
          </w:p>
        </w:tc>
        <w:tc>
          <w:tcPr>
            <w:tcW w:w="202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24"/>
                <w:szCs w:val="24"/>
                <w:color w:val="auto"/>
              </w:rPr>
            </w:pPr>
          </w:p>
        </w:tc>
        <w:tc>
          <w:tcPr>
            <w:tcW w:w="16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(2,681)</w:t>
            </w:r>
          </w:p>
        </w:tc>
        <w:tc>
          <w:tcPr>
            <w:tcW w:w="6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695,576</w:t>
            </w:r>
          </w:p>
        </w:tc>
      </w:tr>
      <w:tr>
        <w:trPr>
          <w:trHeight w:val="373"/>
        </w:trPr>
        <w:tc>
          <w:tcPr>
            <w:tcW w:w="3480" w:type="dxa"/>
            <w:vAlign w:val="bottom"/>
          </w:tcPr>
          <w:p>
            <w:pPr>
              <w:spacing w:after="0"/>
              <w:rPr>
                <w:sz w:val="20"/>
                <w:szCs w:val="20"/>
                <w:color w:val="auto"/>
              </w:rPr>
            </w:pPr>
            <w:r>
              <w:rPr>
                <w:rFonts w:ascii="Courier New" w:cs="Courier New" w:eastAsia="Courier New" w:hAnsi="Courier New"/>
                <w:sz w:val="16"/>
                <w:szCs w:val="16"/>
                <w:color w:val="auto"/>
              </w:rPr>
              <w:t>The Scotts Company Common Shares</w:t>
            </w:r>
          </w:p>
        </w:tc>
        <w:tc>
          <w:tcPr>
            <w:tcW w:w="580" w:type="dxa"/>
            <w:vAlign w:val="bottom"/>
          </w:tcPr>
          <w:p>
            <w:pPr>
              <w:spacing w:after="0"/>
              <w:rPr>
                <w:sz w:val="24"/>
                <w:szCs w:val="24"/>
                <w:color w:val="auto"/>
              </w:rPr>
            </w:pPr>
          </w:p>
        </w:tc>
        <w:tc>
          <w:tcPr>
            <w:tcW w:w="15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31,542</w:t>
            </w:r>
          </w:p>
        </w:tc>
        <w:tc>
          <w:tcPr>
            <w:tcW w:w="2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(179,130)</w:t>
            </w:r>
          </w:p>
        </w:tc>
        <w:tc>
          <w:tcPr>
            <w:tcW w:w="640" w:type="dxa"/>
            <w:vAlign w:val="bottom"/>
          </w:tcPr>
          <w:p>
            <w:pPr>
              <w:spacing w:after="0"/>
              <w:rPr>
                <w:sz w:val="24"/>
                <w:szCs w:val="24"/>
                <w:color w:val="auto"/>
              </w:rPr>
            </w:pPr>
          </w:p>
        </w:tc>
        <w:tc>
          <w:tcPr>
            <w:tcW w:w="16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(1,451)</w:t>
            </w:r>
          </w:p>
        </w:tc>
        <w:tc>
          <w:tcPr>
            <w:tcW w:w="6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(149,039)</w:t>
            </w:r>
          </w:p>
        </w:tc>
      </w:tr>
      <w:tr>
        <w:trPr>
          <w:trHeight w:val="373"/>
        </w:trPr>
        <w:tc>
          <w:tcPr>
            <w:tcW w:w="3480" w:type="dxa"/>
            <w:vAlign w:val="bottom"/>
          </w:tcPr>
          <w:p>
            <w:pPr>
              <w:spacing w:after="0"/>
              <w:rPr>
                <w:sz w:val="20"/>
                <w:szCs w:val="20"/>
                <w:color w:val="auto"/>
              </w:rPr>
            </w:pPr>
            <w:r>
              <w:rPr>
                <w:rFonts w:ascii="Courier New" w:cs="Courier New" w:eastAsia="Courier New" w:hAnsi="Courier New"/>
                <w:sz w:val="16"/>
                <w:szCs w:val="16"/>
                <w:color w:val="auto"/>
              </w:rPr>
              <w:t>Loans to participants</w:t>
            </w:r>
          </w:p>
        </w:tc>
        <w:tc>
          <w:tcPr>
            <w:tcW w:w="580" w:type="dxa"/>
            <w:vAlign w:val="bottom"/>
          </w:tcPr>
          <w:p>
            <w:pPr>
              <w:spacing w:after="0"/>
              <w:rPr>
                <w:sz w:val="24"/>
                <w:szCs w:val="24"/>
                <w:color w:val="auto"/>
              </w:rPr>
            </w:pPr>
          </w:p>
        </w:tc>
        <w:tc>
          <w:tcPr>
            <w:tcW w:w="15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212,344</w:t>
            </w:r>
          </w:p>
        </w:tc>
        <w:tc>
          <w:tcPr>
            <w:tcW w:w="202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24"/>
                <w:szCs w:val="24"/>
                <w:color w:val="auto"/>
              </w:rPr>
            </w:pPr>
          </w:p>
        </w:tc>
        <w:tc>
          <w:tcPr>
            <w:tcW w:w="160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212,344</w:t>
            </w:r>
          </w:p>
        </w:tc>
      </w:tr>
      <w:tr>
        <w:trPr>
          <w:trHeight w:val="186"/>
        </w:trPr>
        <w:tc>
          <w:tcPr>
            <w:tcW w:w="3480" w:type="dxa"/>
            <w:vAlign w:val="bottom"/>
          </w:tcPr>
          <w:p>
            <w:pPr>
              <w:spacing w:after="0"/>
              <w:rPr>
                <w:sz w:val="16"/>
                <w:szCs w:val="16"/>
                <w:color w:val="auto"/>
              </w:rPr>
            </w:pPr>
          </w:p>
        </w:tc>
        <w:tc>
          <w:tcPr>
            <w:tcW w:w="210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w:t>
            </w:r>
          </w:p>
        </w:tc>
        <w:tc>
          <w:tcPr>
            <w:tcW w:w="2240" w:type="dxa"/>
            <w:vAlign w:val="bottom"/>
            <w:gridSpan w:val="2"/>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3480" w:type="dxa"/>
            <w:vAlign w:val="bottom"/>
          </w:tcPr>
          <w:p>
            <w:pPr>
              <w:ind w:left="300"/>
              <w:spacing w:after="0"/>
              <w:rPr>
                <w:sz w:val="20"/>
                <w:szCs w:val="20"/>
                <w:color w:val="auto"/>
              </w:rPr>
            </w:pPr>
            <w:r>
              <w:rPr>
                <w:rFonts w:ascii="Courier New" w:cs="Courier New" w:eastAsia="Courier New" w:hAnsi="Courier New"/>
                <w:sz w:val="16"/>
                <w:szCs w:val="16"/>
                <w:color w:val="auto"/>
              </w:rPr>
              <w:t>Total</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8,490,169</w:t>
            </w:r>
          </w:p>
        </w:tc>
        <w:tc>
          <w:tcPr>
            <w:tcW w:w="2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$(12,511,430)</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(18,479)</w:t>
            </w: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(4,039,740)</w:t>
            </w:r>
          </w:p>
        </w:tc>
      </w:tr>
      <w:tr>
        <w:trPr>
          <w:trHeight w:val="186"/>
        </w:trPr>
        <w:tc>
          <w:tcPr>
            <w:tcW w:w="3480" w:type="dxa"/>
            <w:vAlign w:val="bottom"/>
          </w:tcPr>
          <w:p>
            <w:pPr>
              <w:spacing w:after="0"/>
              <w:rPr>
                <w:sz w:val="16"/>
                <w:szCs w:val="16"/>
                <w:color w:val="auto"/>
              </w:rPr>
            </w:pPr>
          </w:p>
        </w:tc>
        <w:tc>
          <w:tcPr>
            <w:tcW w:w="210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w:t>
            </w:r>
          </w:p>
        </w:tc>
        <w:tc>
          <w:tcPr>
            <w:tcW w:w="2240" w:type="dxa"/>
            <w:vAlign w:val="bottom"/>
            <w:gridSpan w:val="2"/>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right="4160" w:firstLine="872"/>
        <w:spacing w:after="0" w:line="248" w:lineRule="auto"/>
        <w:rPr>
          <w:sz w:val="20"/>
          <w:szCs w:val="20"/>
          <w:color w:val="auto"/>
        </w:rPr>
      </w:pPr>
      <w:r>
        <w:rPr>
          <w:rFonts w:ascii="Courier New" w:cs="Courier New" w:eastAsia="Courier New" w:hAnsi="Courier New"/>
          <w:sz w:val="16"/>
          <w:szCs w:val="16"/>
          <w:color w:val="auto"/>
        </w:rPr>
        <w:t>Total assets held in the master trust at December 31, 2001 and 2000 were as follows:</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0" w:type="dxa"/>
            <w:vAlign w:val="bottom"/>
          </w:tcPr>
          <w:p>
            <w:pPr>
              <w:jc w:val="right"/>
              <w:ind w:right="939"/>
              <w:spacing w:after="0"/>
              <w:rPr>
                <w:sz w:val="20"/>
                <w:szCs w:val="20"/>
                <w:color w:val="auto"/>
              </w:rPr>
            </w:pPr>
            <w:r>
              <w:rPr>
                <w:rFonts w:ascii="Courier New" w:cs="Courier New" w:eastAsia="Courier New" w:hAnsi="Courier New"/>
                <w:sz w:val="16"/>
                <w:szCs w:val="16"/>
                <w:color w:val="auto"/>
              </w:rPr>
              <w:t>2001</w:t>
            </w:r>
          </w:p>
        </w:tc>
        <w:tc>
          <w:tcPr>
            <w:tcW w:w="520" w:type="dxa"/>
            <w:vAlign w:val="bottom"/>
          </w:tcPr>
          <w:p>
            <w:pPr>
              <w:spacing w:after="0"/>
              <w:rPr>
                <w:sz w:val="15"/>
                <w:szCs w:val="15"/>
                <w:color w:val="auto"/>
              </w:rPr>
            </w:pPr>
          </w:p>
        </w:tc>
        <w:tc>
          <w:tcPr>
            <w:tcW w:w="11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2000</w:t>
            </w:r>
          </w:p>
        </w:tc>
      </w:tr>
      <w:tr>
        <w:trPr>
          <w:trHeight w:val="186"/>
        </w:trPr>
        <w:tc>
          <w:tcPr>
            <w:tcW w:w="5280" w:type="dxa"/>
            <w:vAlign w:val="bottom"/>
          </w:tcPr>
          <w:p>
            <w:pPr>
              <w:spacing w:after="0"/>
              <w:rPr>
                <w:sz w:val="16"/>
                <w:szCs w:val="16"/>
                <w:color w:val="auto"/>
              </w:rPr>
            </w:pPr>
          </w:p>
        </w:tc>
        <w:tc>
          <w:tcPr>
            <w:tcW w:w="2140" w:type="dxa"/>
            <w:vAlign w:val="bottom"/>
            <w:gridSpan w:val="2"/>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5280" w:type="dxa"/>
            <w:vAlign w:val="bottom"/>
          </w:tcPr>
          <w:p>
            <w:pPr>
              <w:spacing w:after="0"/>
              <w:rPr>
                <w:sz w:val="20"/>
                <w:szCs w:val="20"/>
                <w:color w:val="auto"/>
              </w:rPr>
            </w:pPr>
            <w:r>
              <w:rPr>
                <w:rFonts w:ascii="Courier New" w:cs="Courier New" w:eastAsia="Courier New" w:hAnsi="Courier New"/>
                <w:sz w:val="16"/>
                <w:szCs w:val="16"/>
                <w:color w:val="auto"/>
              </w:rPr>
              <w:t>Cash and cash equivalents</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486,922</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439,536</w:t>
            </w:r>
          </w:p>
        </w:tc>
      </w:tr>
      <w:tr>
        <w:trPr>
          <w:trHeight w:val="373"/>
        </w:trPr>
        <w:tc>
          <w:tcPr>
            <w:tcW w:w="5280" w:type="dxa"/>
            <w:vAlign w:val="bottom"/>
          </w:tcPr>
          <w:p>
            <w:pPr>
              <w:spacing w:after="0"/>
              <w:rPr>
                <w:sz w:val="20"/>
                <w:szCs w:val="20"/>
                <w:color w:val="auto"/>
              </w:rPr>
            </w:pPr>
            <w:r>
              <w:rPr>
                <w:rFonts w:ascii="Courier New" w:cs="Courier New" w:eastAsia="Courier New" w:hAnsi="Courier New"/>
                <w:sz w:val="16"/>
                <w:szCs w:val="16"/>
                <w:color w:val="auto"/>
              </w:rPr>
              <w:t>Investments</w:t>
            </w:r>
          </w:p>
        </w:tc>
        <w:tc>
          <w:tcPr>
            <w:tcW w:w="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6"/>
        </w:trPr>
        <w:tc>
          <w:tcPr>
            <w:tcW w:w="5280" w:type="dxa"/>
            <w:vAlign w:val="bottom"/>
          </w:tcPr>
          <w:p>
            <w:pPr>
              <w:ind w:left="300"/>
              <w:spacing w:after="0"/>
              <w:rPr>
                <w:sz w:val="20"/>
                <w:szCs w:val="20"/>
                <w:color w:val="auto"/>
              </w:rPr>
            </w:pPr>
            <w:r>
              <w:rPr>
                <w:rFonts w:ascii="Courier New" w:cs="Courier New" w:eastAsia="Courier New" w:hAnsi="Courier New"/>
                <w:sz w:val="16"/>
                <w:szCs w:val="16"/>
                <w:color w:val="auto"/>
              </w:rPr>
              <w:t>Mutual funds, at fair value</w:t>
            </w:r>
          </w:p>
        </w:tc>
        <w:tc>
          <w:tcPr>
            <w:tcW w:w="540" w:type="dxa"/>
            <w:vAlign w:val="bottom"/>
          </w:tcPr>
          <w:p>
            <w:pPr>
              <w:spacing w:after="0"/>
              <w:rPr>
                <w:sz w:val="16"/>
                <w:szCs w:val="16"/>
                <w:color w:val="auto"/>
              </w:rPr>
            </w:pPr>
          </w:p>
        </w:tc>
        <w:tc>
          <w:tcPr>
            <w:tcW w:w="1600" w:type="dxa"/>
            <w:vAlign w:val="bottom"/>
          </w:tcPr>
          <w:p>
            <w:pPr>
              <w:jc w:val="right"/>
              <w:ind w:right="459"/>
              <w:spacing w:after="0"/>
              <w:rPr>
                <w:sz w:val="20"/>
                <w:szCs w:val="20"/>
                <w:color w:val="auto"/>
              </w:rPr>
            </w:pPr>
            <w:r>
              <w:rPr>
                <w:rFonts w:ascii="Courier New" w:cs="Courier New" w:eastAsia="Courier New" w:hAnsi="Courier New"/>
                <w:sz w:val="16"/>
                <w:szCs w:val="16"/>
                <w:color w:val="auto"/>
                <w:w w:val="98"/>
              </w:rPr>
              <w:t>112,359,577</w:t>
            </w:r>
          </w:p>
        </w:tc>
        <w:tc>
          <w:tcPr>
            <w:tcW w:w="5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119,120,168</w:t>
            </w:r>
          </w:p>
        </w:tc>
      </w:tr>
      <w:tr>
        <w:trPr>
          <w:trHeight w:val="186"/>
        </w:trPr>
        <w:tc>
          <w:tcPr>
            <w:tcW w:w="5280" w:type="dxa"/>
            <w:vAlign w:val="bottom"/>
          </w:tcPr>
          <w:p>
            <w:pPr>
              <w:ind w:left="300"/>
              <w:spacing w:after="0"/>
              <w:rPr>
                <w:sz w:val="20"/>
                <w:szCs w:val="20"/>
                <w:color w:val="auto"/>
              </w:rPr>
            </w:pPr>
            <w:r>
              <w:rPr>
                <w:rFonts w:ascii="Courier New" w:cs="Courier New" w:eastAsia="Courier New" w:hAnsi="Courier New"/>
                <w:sz w:val="16"/>
                <w:szCs w:val="16"/>
                <w:color w:val="auto"/>
              </w:rPr>
              <w:t>Common trust fund, at fair value</w:t>
            </w:r>
          </w:p>
        </w:tc>
        <w:tc>
          <w:tcPr>
            <w:tcW w:w="540" w:type="dxa"/>
            <w:vAlign w:val="bottom"/>
          </w:tcPr>
          <w:p>
            <w:pPr>
              <w:spacing w:after="0"/>
              <w:rPr>
                <w:sz w:val="16"/>
                <w:szCs w:val="16"/>
                <w:color w:val="auto"/>
              </w:rPr>
            </w:pPr>
          </w:p>
        </w:tc>
        <w:tc>
          <w:tcPr>
            <w:tcW w:w="16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15,190,528</w:t>
            </w:r>
          </w:p>
        </w:tc>
        <w:tc>
          <w:tcPr>
            <w:tcW w:w="5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12,901,238</w:t>
            </w:r>
          </w:p>
        </w:tc>
      </w:tr>
      <w:tr>
        <w:trPr>
          <w:trHeight w:val="186"/>
        </w:trPr>
        <w:tc>
          <w:tcPr>
            <w:tcW w:w="5280" w:type="dxa"/>
            <w:vAlign w:val="bottom"/>
          </w:tcPr>
          <w:p>
            <w:pPr>
              <w:ind w:left="300"/>
              <w:spacing w:after="0"/>
              <w:rPr>
                <w:sz w:val="20"/>
                <w:szCs w:val="20"/>
                <w:color w:val="auto"/>
              </w:rPr>
            </w:pPr>
            <w:r>
              <w:rPr>
                <w:rFonts w:ascii="Courier New" w:cs="Courier New" w:eastAsia="Courier New" w:hAnsi="Courier New"/>
                <w:sz w:val="16"/>
                <w:szCs w:val="16"/>
                <w:color w:val="auto"/>
              </w:rPr>
              <w:t>The Scotts Company Common Shares, at fair value</w:t>
            </w:r>
          </w:p>
        </w:tc>
        <w:tc>
          <w:tcPr>
            <w:tcW w:w="540" w:type="dxa"/>
            <w:vAlign w:val="bottom"/>
          </w:tcPr>
          <w:p>
            <w:pPr>
              <w:spacing w:after="0"/>
              <w:rPr>
                <w:sz w:val="16"/>
                <w:szCs w:val="16"/>
                <w:color w:val="auto"/>
              </w:rPr>
            </w:pPr>
          </w:p>
        </w:tc>
        <w:tc>
          <w:tcPr>
            <w:tcW w:w="16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6,786,189</w:t>
            </w:r>
          </w:p>
        </w:tc>
        <w:tc>
          <w:tcPr>
            <w:tcW w:w="5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8,538,029</w:t>
            </w:r>
          </w:p>
        </w:tc>
      </w:tr>
      <w:tr>
        <w:trPr>
          <w:trHeight w:val="186"/>
        </w:trPr>
        <w:tc>
          <w:tcPr>
            <w:tcW w:w="5280" w:type="dxa"/>
            <w:vAlign w:val="bottom"/>
          </w:tcPr>
          <w:p>
            <w:pPr>
              <w:ind w:left="300"/>
              <w:spacing w:after="0"/>
              <w:rPr>
                <w:sz w:val="20"/>
                <w:szCs w:val="20"/>
                <w:color w:val="auto"/>
              </w:rPr>
            </w:pPr>
            <w:r>
              <w:rPr>
                <w:rFonts w:ascii="Courier New" w:cs="Courier New" w:eastAsia="Courier New" w:hAnsi="Courier New"/>
                <w:sz w:val="16"/>
                <w:szCs w:val="16"/>
                <w:color w:val="auto"/>
              </w:rPr>
              <w:t>Loans to participants, at cost</w:t>
            </w:r>
          </w:p>
        </w:tc>
        <w:tc>
          <w:tcPr>
            <w:tcW w:w="540" w:type="dxa"/>
            <w:vAlign w:val="bottom"/>
          </w:tcPr>
          <w:p>
            <w:pPr>
              <w:spacing w:after="0"/>
              <w:rPr>
                <w:sz w:val="16"/>
                <w:szCs w:val="16"/>
                <w:color w:val="auto"/>
              </w:rPr>
            </w:pPr>
          </w:p>
        </w:tc>
        <w:tc>
          <w:tcPr>
            <w:tcW w:w="16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3,031,510</w:t>
            </w:r>
          </w:p>
        </w:tc>
        <w:tc>
          <w:tcPr>
            <w:tcW w:w="5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2,938,128</w:t>
            </w:r>
          </w:p>
        </w:tc>
      </w:tr>
      <w:tr>
        <w:trPr>
          <w:trHeight w:val="186"/>
        </w:trPr>
        <w:tc>
          <w:tcPr>
            <w:tcW w:w="5280" w:type="dxa"/>
            <w:vAlign w:val="bottom"/>
          </w:tcPr>
          <w:p>
            <w:pPr>
              <w:spacing w:after="0"/>
              <w:rPr>
                <w:sz w:val="16"/>
                <w:szCs w:val="16"/>
                <w:color w:val="auto"/>
              </w:rPr>
            </w:pPr>
          </w:p>
        </w:tc>
        <w:tc>
          <w:tcPr>
            <w:tcW w:w="2140" w:type="dxa"/>
            <w:vAlign w:val="bottom"/>
            <w:gridSpan w:val="2"/>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280" w:type="dxa"/>
            <w:vAlign w:val="bottom"/>
          </w:tcPr>
          <w:p>
            <w:pPr>
              <w:ind w:left="480"/>
              <w:spacing w:after="0"/>
              <w:rPr>
                <w:sz w:val="20"/>
                <w:szCs w:val="20"/>
                <w:color w:val="auto"/>
              </w:rPr>
            </w:pPr>
            <w:r>
              <w:rPr>
                <w:rFonts w:ascii="Courier New" w:cs="Courier New" w:eastAsia="Courier New" w:hAnsi="Courier New"/>
                <w:sz w:val="16"/>
                <w:szCs w:val="16"/>
                <w:color w:val="auto"/>
              </w:rPr>
              <w:t>Total investments</w:t>
            </w:r>
          </w:p>
        </w:tc>
        <w:tc>
          <w:tcPr>
            <w:tcW w:w="540" w:type="dxa"/>
            <w:vAlign w:val="bottom"/>
          </w:tcPr>
          <w:p>
            <w:pPr>
              <w:spacing w:after="0"/>
              <w:rPr>
                <w:sz w:val="16"/>
                <w:szCs w:val="16"/>
                <w:color w:val="auto"/>
              </w:rPr>
            </w:pPr>
          </w:p>
        </w:tc>
        <w:tc>
          <w:tcPr>
            <w:tcW w:w="1600" w:type="dxa"/>
            <w:vAlign w:val="bottom"/>
          </w:tcPr>
          <w:p>
            <w:pPr>
              <w:jc w:val="right"/>
              <w:ind w:right="459"/>
              <w:spacing w:after="0"/>
              <w:rPr>
                <w:sz w:val="20"/>
                <w:szCs w:val="20"/>
                <w:color w:val="auto"/>
              </w:rPr>
            </w:pPr>
            <w:r>
              <w:rPr>
                <w:rFonts w:ascii="Courier New" w:cs="Courier New" w:eastAsia="Courier New" w:hAnsi="Courier New"/>
                <w:sz w:val="16"/>
                <w:szCs w:val="16"/>
                <w:color w:val="auto"/>
                <w:w w:val="98"/>
              </w:rPr>
              <w:t>137,367,804</w:t>
            </w:r>
          </w:p>
        </w:tc>
        <w:tc>
          <w:tcPr>
            <w:tcW w:w="5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143,497,563</w:t>
            </w:r>
          </w:p>
        </w:tc>
      </w:tr>
      <w:tr>
        <w:trPr>
          <w:trHeight w:val="186"/>
        </w:trPr>
        <w:tc>
          <w:tcPr>
            <w:tcW w:w="5280" w:type="dxa"/>
            <w:vAlign w:val="bottom"/>
          </w:tcPr>
          <w:p>
            <w:pPr>
              <w:spacing w:after="0"/>
              <w:rPr>
                <w:sz w:val="16"/>
                <w:szCs w:val="16"/>
                <w:color w:val="auto"/>
              </w:rPr>
            </w:pPr>
          </w:p>
        </w:tc>
        <w:tc>
          <w:tcPr>
            <w:tcW w:w="2140" w:type="dxa"/>
            <w:vAlign w:val="bottom"/>
            <w:gridSpan w:val="2"/>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280" w:type="dxa"/>
            <w:vAlign w:val="bottom"/>
          </w:tcPr>
          <w:p>
            <w:pPr>
              <w:spacing w:after="0"/>
              <w:rPr>
                <w:sz w:val="20"/>
                <w:szCs w:val="20"/>
                <w:color w:val="auto"/>
              </w:rPr>
            </w:pPr>
            <w:r>
              <w:rPr>
                <w:rFonts w:ascii="Courier New" w:cs="Courier New" w:eastAsia="Courier New" w:hAnsi="Courier New"/>
                <w:sz w:val="16"/>
                <w:szCs w:val="16"/>
                <w:color w:val="auto"/>
              </w:rPr>
              <w:t>Receivable from broker</w:t>
            </w:r>
          </w:p>
        </w:tc>
        <w:tc>
          <w:tcPr>
            <w:tcW w:w="5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6"/>
        </w:trPr>
        <w:tc>
          <w:tcPr>
            <w:tcW w:w="5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1,076</w:t>
            </w:r>
          </w:p>
        </w:tc>
        <w:tc>
          <w:tcPr>
            <w:tcW w:w="5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226,447</w:t>
            </w:r>
          </w:p>
        </w:tc>
      </w:tr>
      <w:tr>
        <w:trPr>
          <w:trHeight w:val="373"/>
        </w:trPr>
        <w:tc>
          <w:tcPr>
            <w:tcW w:w="5280" w:type="dxa"/>
            <w:vAlign w:val="bottom"/>
          </w:tcPr>
          <w:p>
            <w:pPr>
              <w:ind w:left="480"/>
              <w:spacing w:after="0"/>
              <w:rPr>
                <w:sz w:val="20"/>
                <w:szCs w:val="20"/>
                <w:color w:val="auto"/>
              </w:rPr>
            </w:pPr>
            <w:r>
              <w:rPr>
                <w:rFonts w:ascii="Courier New" w:cs="Courier New" w:eastAsia="Courier New" w:hAnsi="Courier New"/>
                <w:sz w:val="16"/>
                <w:szCs w:val="16"/>
                <w:color w:val="auto"/>
              </w:rPr>
              <w:t>Total master trust net assets</w:t>
            </w:r>
          </w:p>
        </w:tc>
        <w:tc>
          <w:tcPr>
            <w:tcW w:w="540" w:type="dxa"/>
            <w:vAlign w:val="bottom"/>
          </w:tcPr>
          <w:p>
            <w:pPr>
              <w:spacing w:after="0"/>
              <w:rPr>
                <w:sz w:val="24"/>
                <w:szCs w:val="24"/>
                <w:color w:val="auto"/>
              </w:rPr>
            </w:pPr>
          </w:p>
        </w:tc>
        <w:tc>
          <w:tcPr>
            <w:tcW w:w="1600" w:type="dxa"/>
            <w:vAlign w:val="bottom"/>
          </w:tcPr>
          <w:p>
            <w:pPr>
              <w:jc w:val="right"/>
              <w:ind w:right="459"/>
              <w:spacing w:after="0"/>
              <w:rPr>
                <w:sz w:val="20"/>
                <w:szCs w:val="20"/>
                <w:color w:val="auto"/>
              </w:rPr>
            </w:pPr>
            <w:r>
              <w:rPr>
                <w:rFonts w:ascii="Courier New" w:cs="Courier New" w:eastAsia="Courier New" w:hAnsi="Courier New"/>
                <w:sz w:val="16"/>
                <w:szCs w:val="16"/>
                <w:color w:val="auto"/>
                <w:w w:val="98"/>
              </w:rPr>
              <w:t>137,855,802</w:t>
            </w:r>
          </w:p>
        </w:tc>
        <w:tc>
          <w:tcPr>
            <w:tcW w:w="5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144,163,546</w:t>
            </w:r>
          </w:p>
        </w:tc>
      </w:tr>
      <w:tr>
        <w:trPr>
          <w:trHeight w:val="186"/>
        </w:trPr>
        <w:tc>
          <w:tcPr>
            <w:tcW w:w="5280" w:type="dxa"/>
            <w:vAlign w:val="bottom"/>
          </w:tcPr>
          <w:p>
            <w:pPr>
              <w:spacing w:after="0"/>
              <w:rPr>
                <w:sz w:val="16"/>
                <w:szCs w:val="16"/>
                <w:color w:val="auto"/>
              </w:rPr>
            </w:pPr>
          </w:p>
        </w:tc>
        <w:tc>
          <w:tcPr>
            <w:tcW w:w="2140" w:type="dxa"/>
            <w:vAlign w:val="bottom"/>
            <w:gridSpan w:val="2"/>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280" w:type="dxa"/>
            <w:vAlign w:val="bottom"/>
          </w:tcPr>
          <w:p>
            <w:pPr>
              <w:spacing w:after="0"/>
              <w:rPr>
                <w:sz w:val="20"/>
                <w:szCs w:val="20"/>
                <w:color w:val="auto"/>
              </w:rPr>
            </w:pPr>
            <w:r>
              <w:rPr>
                <w:rFonts w:ascii="Courier New" w:cs="Courier New" w:eastAsia="Courier New" w:hAnsi="Courier New"/>
                <w:sz w:val="16"/>
                <w:szCs w:val="16"/>
                <w:color w:val="auto"/>
              </w:rPr>
              <w:t>The Scotts Company Union Retirement Savings Plan</w:t>
            </w:r>
          </w:p>
        </w:tc>
        <w:tc>
          <w:tcPr>
            <w:tcW w:w="5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6"/>
        </w:trPr>
        <w:tc>
          <w:tcPr>
            <w:tcW w:w="5280" w:type="dxa"/>
            <w:vAlign w:val="bottom"/>
          </w:tcPr>
          <w:p>
            <w:pPr>
              <w:ind w:left="300"/>
              <w:spacing w:after="0"/>
              <w:rPr>
                <w:sz w:val="20"/>
                <w:szCs w:val="20"/>
                <w:color w:val="auto"/>
              </w:rPr>
            </w:pPr>
            <w:r>
              <w:rPr>
                <w:rFonts w:ascii="Courier New" w:cs="Courier New" w:eastAsia="Courier New" w:hAnsi="Courier New"/>
                <w:sz w:val="16"/>
                <w:szCs w:val="16"/>
                <w:color w:val="auto"/>
              </w:rPr>
              <w:t>interest in master trust net assets</w:t>
            </w:r>
          </w:p>
        </w:tc>
        <w:tc>
          <w:tcPr>
            <w:tcW w:w="540" w:type="dxa"/>
            <w:vAlign w:val="bottom"/>
          </w:tcPr>
          <w:p>
            <w:pPr>
              <w:spacing w:after="0"/>
              <w:rPr>
                <w:sz w:val="16"/>
                <w:szCs w:val="16"/>
                <w:color w:val="auto"/>
              </w:rPr>
            </w:pPr>
          </w:p>
        </w:tc>
        <w:tc>
          <w:tcPr>
            <w:tcW w:w="16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0.123%</w:t>
            </w:r>
          </w:p>
        </w:tc>
        <w:tc>
          <w:tcPr>
            <w:tcW w:w="5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0.058%</w:t>
            </w:r>
          </w:p>
        </w:tc>
      </w:tr>
      <w:tr>
        <w:trPr>
          <w:trHeight w:val="186"/>
        </w:trPr>
        <w:tc>
          <w:tcPr>
            <w:tcW w:w="5280" w:type="dxa"/>
            <w:vAlign w:val="bottom"/>
          </w:tcPr>
          <w:p>
            <w:pPr>
              <w:spacing w:after="0"/>
              <w:rPr>
                <w:sz w:val="16"/>
                <w:szCs w:val="16"/>
                <w:color w:val="auto"/>
              </w:rPr>
            </w:pPr>
          </w:p>
        </w:tc>
        <w:tc>
          <w:tcPr>
            <w:tcW w:w="2140" w:type="dxa"/>
            <w:vAlign w:val="bottom"/>
            <w:gridSpan w:val="2"/>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932"/>
        </w:trPr>
        <w:tc>
          <w:tcPr>
            <w:tcW w:w="5280" w:type="dxa"/>
            <w:vAlign w:val="bottom"/>
          </w:tcPr>
          <w:p>
            <w:pPr>
              <w:ind w:left="3680"/>
              <w:spacing w:after="0"/>
              <w:rPr>
                <w:sz w:val="20"/>
                <w:szCs w:val="20"/>
                <w:color w:val="auto"/>
              </w:rPr>
            </w:pPr>
            <w:r>
              <w:rPr>
                <w:rFonts w:ascii="Courier New" w:cs="Courier New" w:eastAsia="Courier New" w:hAnsi="Courier New"/>
                <w:sz w:val="16"/>
                <w:szCs w:val="16"/>
                <w:color w:val="auto"/>
              </w:rPr>
              <w:t>-7-</w:t>
            </w:r>
          </w:p>
        </w:tc>
        <w:tc>
          <w:tcPr>
            <w:tcW w:w="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520"/>
          </w:cols>
          <w:pgMar w:left="240" w:top="862" w:right="139" w:bottom="507" w:gutter="0" w:footer="0" w:header="0"/>
        </w:sectPr>
      </w:pPr>
    </w:p>
    <w:bookmarkStart w:id="9" w:name="page10"/>
    <w:bookmarkEnd w:id="9"/>
    <w:p>
      <w:pPr>
        <w:ind w:left="1"/>
        <w:spacing w:after="0"/>
        <w:rPr>
          <w:sz w:val="20"/>
          <w:szCs w:val="20"/>
          <w:color w:val="auto"/>
        </w:rPr>
      </w:pPr>
      <w:r>
        <w:rPr>
          <w:rFonts w:ascii="Courier New" w:cs="Courier New" w:eastAsia="Courier New" w:hAnsi="Courier New"/>
          <w:sz w:val="16"/>
          <w:szCs w:val="16"/>
          <w:color w:val="auto"/>
        </w:rPr>
        <w:t>THE SCOTTS COMPANY UNION RETIREMENT SAVINGS PLAN</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NOTES TO FINANCIAL STATEMENTS</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DECEMBER 31, 2001 AND 2000</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Accounting policies discussed in Note 1 also apply to the master trust.</w:t>
      </w:r>
    </w:p>
    <w:p>
      <w:pPr>
        <w:spacing w:after="0" w:line="191" w:lineRule="exact"/>
        <w:rPr>
          <w:sz w:val="20"/>
          <w:szCs w:val="20"/>
          <w:color w:val="auto"/>
        </w:rPr>
      </w:pPr>
    </w:p>
    <w:p>
      <w:pPr>
        <w:jc w:val="both"/>
        <w:ind w:left="881" w:right="2759"/>
        <w:spacing w:after="0" w:line="247" w:lineRule="auto"/>
        <w:rPr>
          <w:sz w:val="20"/>
          <w:szCs w:val="20"/>
          <w:color w:val="auto"/>
        </w:rPr>
      </w:pPr>
      <w:r>
        <w:rPr>
          <w:rFonts w:ascii="Courier New" w:cs="Courier New" w:eastAsia="Courier New" w:hAnsi="Courier New"/>
          <w:sz w:val="16"/>
          <w:szCs w:val="16"/>
          <w:color w:val="auto"/>
        </w:rPr>
        <w:t>Cash equivalents include short-term, highly liquid investments with original term to maturity of 90 days or less. Cost approximates fair value.</w:t>
      </w:r>
    </w:p>
    <w:p>
      <w:pPr>
        <w:spacing w:after="0" w:line="186" w:lineRule="exact"/>
        <w:rPr>
          <w:sz w:val="20"/>
          <w:szCs w:val="20"/>
          <w:color w:val="auto"/>
        </w:rPr>
      </w:pPr>
    </w:p>
    <w:p>
      <w:pPr>
        <w:ind w:left="881" w:right="2459"/>
        <w:spacing w:after="0" w:line="247" w:lineRule="auto"/>
        <w:rPr>
          <w:sz w:val="20"/>
          <w:szCs w:val="20"/>
          <w:color w:val="auto"/>
        </w:rPr>
      </w:pPr>
      <w:r>
        <w:rPr>
          <w:rFonts w:ascii="Courier New" w:cs="Courier New" w:eastAsia="Courier New" w:hAnsi="Courier New"/>
          <w:sz w:val="16"/>
          <w:szCs w:val="16"/>
          <w:color w:val="auto"/>
        </w:rPr>
        <w:t>At December 31, 2001 and 2000, the Plan held certain investments in mutual funds managed by the Trustee. Purchases and sales of these mutual funds are open market transactions at fair value. Consequently, such transactions are permitted under the provisions of the Plan and exempt from prohibition of party-in-interest transactions under the IRS Code and ERISA.</w:t>
      </w:r>
    </w:p>
    <w:p>
      <w:pPr>
        <w:spacing w:after="0" w:line="185" w:lineRule="exact"/>
        <w:rPr>
          <w:sz w:val="20"/>
          <w:szCs w:val="20"/>
          <w:color w:val="auto"/>
        </w:rPr>
      </w:pPr>
    </w:p>
    <w:p>
      <w:pPr>
        <w:ind w:left="881" w:hanging="881"/>
        <w:spacing w:after="0"/>
        <w:tabs>
          <w:tab w:leader="none" w:pos="88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IN THE SCOTTS COMPANY</w:t>
      </w:r>
    </w:p>
    <w:p>
      <w:pPr>
        <w:spacing w:after="0" w:line="191" w:lineRule="exact"/>
        <w:rPr>
          <w:rFonts w:ascii="Courier New" w:cs="Courier New" w:eastAsia="Courier New" w:hAnsi="Courier New"/>
          <w:sz w:val="16"/>
          <w:szCs w:val="16"/>
          <w:color w:val="auto"/>
        </w:rPr>
      </w:pPr>
    </w:p>
    <w:p>
      <w:pPr>
        <w:ind w:left="881" w:right="25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At December 31, 2001 and 2000, the master trust had investments in The Scotts Company common shares, as follows:</w:t>
      </w:r>
    </w:p>
    <w:p>
      <w:pPr>
        <w:sectPr>
          <w:pgSz w:w="11900" w:h="16838" w:orient="portrait"/>
          <w:cols w:equalWidth="0" w:num="1">
            <w:col w:w="10220"/>
          </w:cols>
          <w:pgMar w:left="239" w:top="676" w:right="1440" w:bottom="1440" w:gutter="0" w:footer="0" w:header="0"/>
        </w:sectPr>
      </w:pPr>
    </w:p>
    <w:p>
      <w:pPr>
        <w:spacing w:after="0" w:line="371" w:lineRule="exact"/>
        <w:rPr>
          <w:sz w:val="20"/>
          <w:szCs w:val="20"/>
          <w:color w:val="auto"/>
        </w:rPr>
      </w:pPr>
    </w:p>
    <w:p>
      <w:pPr>
        <w:ind w:left="3581"/>
        <w:spacing w:after="0"/>
        <w:rPr>
          <w:sz w:val="20"/>
          <w:szCs w:val="20"/>
          <w:color w:val="auto"/>
        </w:rPr>
      </w:pPr>
      <w:r>
        <w:rPr>
          <w:rFonts w:ascii="Courier New" w:cs="Courier New" w:eastAsia="Courier New" w:hAnsi="Courier New"/>
          <w:sz w:val="16"/>
          <w:szCs w:val="16"/>
          <w:color w:val="auto"/>
        </w:rPr>
        <w:t>2001</w:t>
      </w:r>
    </w:p>
    <w:p>
      <w:pPr>
        <w:spacing w:after="0" w:line="5" w:lineRule="exact"/>
        <w:rPr>
          <w:sz w:val="20"/>
          <w:szCs w:val="20"/>
          <w:color w:val="auto"/>
        </w:rPr>
      </w:pPr>
    </w:p>
    <w:p>
      <w:pPr>
        <w:ind w:left="222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061"/>
        <w:spacing w:after="0"/>
        <w:rPr>
          <w:sz w:val="20"/>
          <w:szCs w:val="20"/>
          <w:color w:val="auto"/>
        </w:rPr>
      </w:pPr>
      <w:r>
        <w:rPr>
          <w:rFonts w:ascii="Courier New" w:cs="Courier New" w:eastAsia="Courier New" w:hAnsi="Courier New"/>
          <w:sz w:val="16"/>
          <w:szCs w:val="16"/>
          <w:color w:val="auto"/>
        </w:rPr>
        <w:t>FAIR MARKET</w:t>
      </w:r>
    </w:p>
    <w:p>
      <w:pPr>
        <w:spacing w:after="0" w:line="5" w:lineRule="exact"/>
        <w:rPr>
          <w:sz w:val="20"/>
          <w:szCs w:val="20"/>
          <w:color w:val="auto"/>
        </w:rPr>
      </w:pPr>
    </w:p>
    <w:p>
      <w:pPr>
        <w:ind w:left="2721"/>
        <w:spacing w:after="0"/>
        <w:tabs>
          <w:tab w:leader="none" w:pos="4340" w:val="left"/>
        </w:tabs>
        <w:rPr>
          <w:sz w:val="20"/>
          <w:szCs w:val="20"/>
          <w:color w:val="auto"/>
        </w:rPr>
      </w:pP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VALUE</w:t>
      </w:r>
    </w:p>
    <w:p>
      <w:pPr>
        <w:spacing w:after="0" w:line="5" w:lineRule="exact"/>
        <w:rPr>
          <w:sz w:val="20"/>
          <w:szCs w:val="20"/>
          <w:color w:val="auto"/>
        </w:rPr>
      </w:pPr>
    </w:p>
    <w:p>
      <w:pPr>
        <w:ind w:left="2221"/>
        <w:spacing w:after="0"/>
        <w:tabs>
          <w:tab w:leader="none" w:pos="39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FAIR MARKET</w:t>
      </w:r>
    </w:p>
    <w:p>
      <w:pPr>
        <w:spacing w:after="0" w:line="5" w:lineRule="exact"/>
        <w:rPr>
          <w:sz w:val="20"/>
          <w:szCs w:val="20"/>
          <w:color w:val="auto"/>
        </w:rPr>
      </w:pPr>
    </w:p>
    <w:p>
      <w:pPr>
        <w:ind w:left="480"/>
        <w:spacing w:after="0"/>
        <w:tabs>
          <w:tab w:leader="none" w:pos="2100" w:val="left"/>
        </w:tabs>
        <w:rPr>
          <w:sz w:val="20"/>
          <w:szCs w:val="20"/>
          <w:color w:val="auto"/>
        </w:rPr>
      </w:pP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VALUE</w:t>
      </w:r>
    </w:p>
    <w:p>
      <w:pPr>
        <w:spacing w:after="0" w:line="5"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91" w:lineRule="exact"/>
        <w:rPr>
          <w:sz w:val="20"/>
          <w:szCs w:val="20"/>
          <w:color w:val="auto"/>
        </w:rPr>
      </w:pPr>
    </w:p>
    <w:p>
      <w:pPr>
        <w:sectPr>
          <w:pgSz w:w="11900" w:h="16838" w:orient="portrait"/>
          <w:cols w:equalWidth="0" w:num="2">
            <w:col w:w="5521" w:space="200"/>
            <w:col w:w="4499"/>
          </w:cols>
          <w:pgMar w:left="239" w:top="676" w:right="1440" w:bottom="1440" w:gutter="0" w:footer="0" w:header="0"/>
          <w:type w:val="continuous"/>
        </w:sectPr>
      </w:pPr>
    </w:p>
    <w:p>
      <w:pPr>
        <w:jc w:val="right"/>
        <w:spacing w:after="0"/>
        <w:rPr>
          <w:sz w:val="20"/>
          <w:szCs w:val="20"/>
          <w:color w:val="auto"/>
        </w:rPr>
      </w:pPr>
      <w:r>
        <w:rPr>
          <w:rFonts w:ascii="Courier New" w:cs="Courier New" w:eastAsia="Courier New" w:hAnsi="Courier New"/>
          <w:sz w:val="16"/>
          <w:szCs w:val="16"/>
          <w:color w:val="auto"/>
        </w:rPr>
        <w:t>142,567</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48" w:lineRule="auto"/>
        <w:rPr>
          <w:sz w:val="20"/>
          <w:szCs w:val="20"/>
          <w:color w:val="auto"/>
        </w:rPr>
      </w:pPr>
      <w:r>
        <w:rPr>
          <w:rFonts w:ascii="Courier New" w:cs="Courier New" w:eastAsia="Courier New" w:hAnsi="Courier New"/>
          <w:sz w:val="16"/>
          <w:szCs w:val="16"/>
          <w:color w:val="auto"/>
        </w:rPr>
        <w:t>$ 6,786,189 ----------------</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6"/>
          <w:szCs w:val="16"/>
          <w:color w:val="auto"/>
        </w:rPr>
        <w:t>231,148</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$ 8,538,029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6" w:lineRule="exact"/>
        <w:rPr>
          <w:sz w:val="20"/>
          <w:szCs w:val="20"/>
          <w:color w:val="auto"/>
        </w:rPr>
      </w:pPr>
    </w:p>
    <w:p>
      <w:pPr>
        <w:sectPr>
          <w:pgSz w:w="11900" w:h="16838" w:orient="portrait"/>
          <w:cols w:equalWidth="0" w:num="4">
            <w:col w:w="3581" w:space="400"/>
            <w:col w:w="1540" w:space="200"/>
            <w:col w:w="1360" w:space="380"/>
            <w:col w:w="2759"/>
          </w:cols>
          <w:pgMar w:left="239" w:top="676" w:right="1440" w:bottom="1440" w:gutter="0" w:footer="0" w:header="0"/>
          <w:type w:val="continuous"/>
        </w:sectPr>
      </w:pPr>
    </w:p>
    <w:p>
      <w:pPr>
        <w:spacing w:after="0" w:line="171" w:lineRule="exact"/>
        <w:rPr>
          <w:sz w:val="20"/>
          <w:szCs w:val="20"/>
          <w:color w:val="auto"/>
        </w:rPr>
      </w:pPr>
    </w:p>
    <w:p>
      <w:pPr>
        <w:ind w:left="881" w:right="2659"/>
        <w:spacing w:after="0" w:line="247" w:lineRule="auto"/>
        <w:rPr>
          <w:sz w:val="20"/>
          <w:szCs w:val="20"/>
          <w:color w:val="auto"/>
        </w:rPr>
      </w:pPr>
      <w:r>
        <w:rPr>
          <w:rFonts w:ascii="Courier New" w:cs="Courier New" w:eastAsia="Courier New" w:hAnsi="Courier New"/>
          <w:sz w:val="16"/>
          <w:szCs w:val="16"/>
          <w:color w:val="auto"/>
        </w:rPr>
        <w:t>The Company's common shares are valued at quoted market prices, which were $47.60 per share at December 31, 2001 and $36.94 per share at December 31, 2000.</w:t>
      </w:r>
    </w:p>
    <w:p>
      <w:pPr>
        <w:spacing w:after="0" w:line="186" w:lineRule="exact"/>
        <w:rPr>
          <w:sz w:val="20"/>
          <w:szCs w:val="20"/>
          <w:color w:val="auto"/>
        </w:rPr>
      </w:pPr>
    </w:p>
    <w:p>
      <w:pPr>
        <w:ind w:left="881" w:hanging="881"/>
        <w:spacing w:after="0"/>
        <w:tabs>
          <w:tab w:leader="none" w:pos="88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 STATUS</w:t>
      </w:r>
    </w:p>
    <w:p>
      <w:pPr>
        <w:spacing w:after="0" w:line="191" w:lineRule="exact"/>
        <w:rPr>
          <w:rFonts w:ascii="Courier New" w:cs="Courier New" w:eastAsia="Courier New" w:hAnsi="Courier New"/>
          <w:sz w:val="16"/>
          <w:szCs w:val="16"/>
          <w:color w:val="auto"/>
        </w:rPr>
      </w:pPr>
    </w:p>
    <w:p>
      <w:pPr>
        <w:ind w:left="881"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has not yet obtained a determination letter from the Internal Revenue Service stating that the Plan is in compliance with the applicable requirements of the Internal Revenue Code. However, the plan administrator and the Plan's legal counsel believe that the Plan is currently designed and being operated in compliance with the applicable requirements of the Internal Revenue Code, and is therefore not subject to income taxes.</w:t>
      </w:r>
    </w:p>
    <w:p>
      <w:pPr>
        <w:spacing w:after="0" w:line="185" w:lineRule="exact"/>
        <w:rPr>
          <w:rFonts w:ascii="Courier New" w:cs="Courier New" w:eastAsia="Courier New" w:hAnsi="Courier New"/>
          <w:sz w:val="16"/>
          <w:szCs w:val="16"/>
          <w:color w:val="auto"/>
        </w:rPr>
      </w:pPr>
    </w:p>
    <w:p>
      <w:pPr>
        <w:ind w:left="881" w:hanging="881"/>
        <w:spacing w:after="0"/>
        <w:tabs>
          <w:tab w:leader="none" w:pos="88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TERMINATION</w:t>
      </w:r>
    </w:p>
    <w:p>
      <w:pPr>
        <w:spacing w:after="0" w:line="191" w:lineRule="exact"/>
        <w:rPr>
          <w:rFonts w:ascii="Courier New" w:cs="Courier New" w:eastAsia="Courier New" w:hAnsi="Courier New"/>
          <w:sz w:val="16"/>
          <w:szCs w:val="16"/>
          <w:color w:val="auto"/>
        </w:rPr>
      </w:pPr>
    </w:p>
    <w:p>
      <w:pPr>
        <w:ind w:left="881"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Although it has not expressed any intent to do so, the Company has the right under the Plan to terminate the Plan or its contributions subject to the provisions of the Employee Retirement Income Security Act of 1974, and the Company's collective bargaining agreement with the Union. In the event the Plan is terminated, participants will become fully vested in their accounts.</w:t>
      </w:r>
    </w:p>
    <w:p>
      <w:pPr>
        <w:spacing w:after="0" w:line="200" w:lineRule="exact"/>
        <w:rPr>
          <w:sz w:val="20"/>
          <w:szCs w:val="20"/>
          <w:color w:val="auto"/>
        </w:rPr>
      </w:pPr>
    </w:p>
    <w:p>
      <w:pPr>
        <w:spacing w:after="0" w:line="358"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0"/>
          </w:cols>
          <w:pgMar w:left="239" w:top="676" w:right="1440" w:bottom="1440" w:gutter="0" w:footer="0" w:header="0"/>
          <w:type w:val="continuous"/>
        </w:sectPr>
      </w:pPr>
    </w:p>
    <w:bookmarkStart w:id="10" w:name="page11"/>
    <w:bookmarkEnd w:id="10"/>
    <w:p>
      <w:pPr>
        <w:spacing w:after="0"/>
        <w:rPr>
          <w:sz w:val="20"/>
          <w:szCs w:val="20"/>
          <w:color w:val="auto"/>
        </w:rPr>
      </w:pPr>
      <w:r>
        <w:rPr>
          <w:rFonts w:ascii="Courier New" w:cs="Courier New" w:eastAsia="Courier New" w:hAnsi="Courier New"/>
          <w:sz w:val="16"/>
          <w:szCs w:val="16"/>
          <w:color w:val="auto"/>
        </w:rPr>
        <w:t>THE SCOTTS COMPANY UNION RETIREMENT SAVINGS PLAN</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FINANCIAL STATEMENTS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31, 2001 AND 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560"/>
          </w:cols>
          <w:pgMar w:left="240" w:top="676" w:right="1099" w:bottom="1440" w:gutter="0" w:footer="0" w:header="0"/>
        </w:sectPr>
      </w:pP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RECONCILIATION TO FORM 5500</w:t>
      </w:r>
    </w:p>
    <w:p>
      <w:pPr>
        <w:spacing w:after="0" w:line="191" w:lineRule="exact"/>
        <w:rPr>
          <w:sz w:val="20"/>
          <w:szCs w:val="20"/>
          <w:color w:val="auto"/>
        </w:rPr>
      </w:pPr>
    </w:p>
    <w:p>
      <w:pPr>
        <w:sectPr>
          <w:pgSz w:w="11900" w:h="16838" w:orient="portrait"/>
          <w:cols w:equalWidth="0" w:num="2">
            <w:col w:w="200" w:space="680"/>
            <w:col w:w="9680"/>
          </w:cols>
          <w:pgMar w:left="240" w:top="676" w:right="1099" w:bottom="1440" w:gutter="0" w:footer="0" w:header="0"/>
          <w:type w:val="continuous"/>
        </w:sectPr>
      </w:pPr>
    </w:p>
    <w:p>
      <w:pPr>
        <w:ind w:left="880" w:right="2900"/>
        <w:spacing w:after="0" w:line="248" w:lineRule="auto"/>
        <w:rPr>
          <w:sz w:val="20"/>
          <w:szCs w:val="20"/>
          <w:color w:val="auto"/>
        </w:rPr>
      </w:pPr>
      <w:r>
        <w:rPr>
          <w:rFonts w:ascii="Courier New" w:cs="Courier New" w:eastAsia="Courier New" w:hAnsi="Courier New"/>
          <w:sz w:val="16"/>
          <w:szCs w:val="16"/>
          <w:color w:val="auto"/>
        </w:rPr>
        <w:t>The following is a reconciliation of net assets available for benefits per the financial statements to the Form 5500:</w:t>
      </w:r>
    </w:p>
    <w:p>
      <w:pPr>
        <w:sectPr>
          <w:pgSz w:w="11900" w:h="16838" w:orient="portrait"/>
          <w:cols w:equalWidth="0" w:num="1">
            <w:col w:w="10560"/>
          </w:cols>
          <w:pgMar w:left="240" w:top="676" w:right="1099" w:bottom="1440" w:gutter="0" w:footer="0" w:header="0"/>
          <w:type w:val="continuous"/>
        </w:sectPr>
      </w:pPr>
    </w:p>
    <w:p>
      <w:pPr>
        <w:spacing w:after="0" w:line="371" w:lineRule="exact"/>
        <w:rPr>
          <w:sz w:val="20"/>
          <w:szCs w:val="20"/>
          <w:color w:val="auto"/>
        </w:rPr>
      </w:pPr>
    </w:p>
    <w:p>
      <w:pPr>
        <w:ind w:left="7180"/>
        <w:spacing w:after="0"/>
        <w:rPr>
          <w:sz w:val="20"/>
          <w:szCs w:val="20"/>
          <w:color w:val="auto"/>
        </w:rPr>
      </w:pPr>
      <w:r>
        <w:rPr>
          <w:rFonts w:ascii="Courier New" w:cs="Courier New" w:eastAsia="Courier New" w:hAnsi="Courier New"/>
          <w:sz w:val="16"/>
          <w:szCs w:val="16"/>
          <w:color w:val="auto"/>
        </w:rPr>
        <w:t>YEAR ENDED</w:t>
      </w:r>
    </w:p>
    <w:p>
      <w:pPr>
        <w:spacing w:after="0" w:line="5" w:lineRule="exact"/>
        <w:rPr>
          <w:sz w:val="20"/>
          <w:szCs w:val="20"/>
          <w:color w:val="auto"/>
        </w:rPr>
      </w:pPr>
    </w:p>
    <w:p>
      <w:pPr>
        <w:ind w:left="7080"/>
        <w:spacing w:after="0"/>
        <w:rPr>
          <w:sz w:val="20"/>
          <w:szCs w:val="20"/>
          <w:color w:val="auto"/>
        </w:rPr>
      </w:pPr>
      <w:r>
        <w:rPr>
          <w:rFonts w:ascii="Courier New" w:cs="Courier New" w:eastAsia="Courier New" w:hAnsi="Courier New"/>
          <w:sz w:val="16"/>
          <w:szCs w:val="16"/>
          <w:color w:val="auto"/>
        </w:rPr>
        <w:t>DECEMBER 31,</w:t>
      </w:r>
    </w:p>
    <w:p>
      <w:pPr>
        <w:spacing w:after="0" w:line="5" w:lineRule="exact"/>
        <w:rPr>
          <w:sz w:val="20"/>
          <w:szCs w:val="20"/>
          <w:color w:val="auto"/>
        </w:rPr>
      </w:pPr>
    </w:p>
    <w:p>
      <w:pPr>
        <w:ind w:left="7460"/>
        <w:spacing w:after="0"/>
        <w:rPr>
          <w:sz w:val="20"/>
          <w:szCs w:val="20"/>
          <w:color w:val="auto"/>
        </w:rPr>
      </w:pPr>
      <w:r>
        <w:rPr>
          <w:rFonts w:ascii="Courier New" w:cs="Courier New" w:eastAsia="Courier New" w:hAnsi="Courier New"/>
          <w:sz w:val="16"/>
          <w:szCs w:val="16"/>
          <w:color w:val="auto"/>
        </w:rPr>
        <w:t>2001</w:t>
      </w:r>
    </w:p>
    <w:p>
      <w:pPr>
        <w:spacing w:after="0" w:line="5" w:lineRule="exact"/>
        <w:rPr>
          <w:sz w:val="20"/>
          <w:szCs w:val="20"/>
          <w:color w:val="auto"/>
        </w:rPr>
      </w:pPr>
    </w:p>
    <w:p>
      <w:pPr>
        <w:ind w:left="68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YEAR ENDED</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DECEMBER 31,</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sectPr>
          <w:pgSz w:w="11900" w:h="16838" w:orient="portrait"/>
          <w:cols w:equalWidth="0" w:num="2">
            <w:col w:w="8620" w:space="200"/>
            <w:col w:w="1740"/>
          </w:cols>
          <w:pgMar w:left="240" w:top="676" w:right="1099" w:bottom="1440" w:gutter="0" w:footer="0" w:header="0"/>
          <w:type w:val="continuous"/>
        </w:sectPr>
      </w:pPr>
    </w:p>
    <w:p>
      <w:pPr>
        <w:ind w:left="880"/>
        <w:spacing w:after="0"/>
        <w:rPr>
          <w:sz w:val="20"/>
          <w:szCs w:val="20"/>
          <w:color w:val="auto"/>
        </w:rPr>
      </w:pPr>
      <w:r>
        <w:rPr>
          <w:rFonts w:ascii="Courier New" w:cs="Courier New" w:eastAsia="Courier New" w:hAnsi="Courier New"/>
          <w:sz w:val="16"/>
          <w:szCs w:val="16"/>
          <w:color w:val="auto"/>
        </w:rPr>
        <w:t>Net assets available for benefits per</w:t>
      </w:r>
    </w:p>
    <w:p>
      <w:pPr>
        <w:sectPr>
          <w:pgSz w:w="11900" w:h="16838" w:orient="portrait"/>
          <w:cols w:equalWidth="0" w:num="1">
            <w:col w:w="10560"/>
          </w:cols>
          <w:pgMar w:left="240" w:top="676" w:right="1099" w:bottom="1440" w:gutter="0" w:footer="0" w:header="0"/>
          <w:type w:val="continuous"/>
        </w:sectPr>
      </w:pP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the financial statements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178,208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91,739</w:t>
      </w:r>
    </w:p>
    <w:p>
      <w:pPr>
        <w:spacing w:after="0" w:line="5" w:lineRule="exact"/>
        <w:rPr>
          <w:sz w:val="20"/>
          <w:szCs w:val="20"/>
          <w:color w:val="auto"/>
        </w:rPr>
      </w:pPr>
    </w:p>
    <w:p>
      <w:pPr>
        <w:sectPr>
          <w:pgSz w:w="11900" w:h="16838" w:orient="portrait"/>
          <w:cols w:equalWidth="0" w:num="5">
            <w:col w:w="6160" w:space="720"/>
            <w:col w:w="160" w:space="720"/>
            <w:col w:w="660" w:space="400"/>
            <w:col w:w="240" w:space="720"/>
            <w:col w:w="780"/>
          </w:cols>
          <w:pgMar w:left="240" w:top="676" w:right="1099" w:bottom="1440" w:gutter="0" w:footer="0" w:header="0"/>
          <w:type w:val="continuous"/>
        </w:sectPr>
      </w:pPr>
    </w:p>
    <w:p>
      <w:pPr>
        <w:ind w:left="880"/>
        <w:spacing w:after="0"/>
        <w:rPr>
          <w:sz w:val="20"/>
          <w:szCs w:val="20"/>
          <w:color w:val="auto"/>
        </w:rPr>
      </w:pPr>
      <w:r>
        <w:rPr>
          <w:rFonts w:ascii="Courier New" w:cs="Courier New" w:eastAsia="Courier New" w:hAnsi="Courier New"/>
          <w:sz w:val="16"/>
          <w:szCs w:val="16"/>
          <w:color w:val="auto"/>
        </w:rPr>
        <w:t>Amounts allocated to withdrawing</w:t>
      </w:r>
    </w:p>
    <w:p>
      <w:pPr>
        <w:sectPr>
          <w:pgSz w:w="11900" w:h="16838" w:orient="portrait"/>
          <w:cols w:equalWidth="0" w:num="1">
            <w:col w:w="10560"/>
          </w:cols>
          <w:pgMar w:left="240" w:top="676" w:right="1099" w:bottom="1440" w:gutter="0" w:footer="0" w:header="0"/>
          <w:type w:val="continuous"/>
        </w:sectPr>
      </w:pP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participants</w:t>
      </w:r>
    </w:p>
    <w:p>
      <w:pPr>
        <w:spacing w:after="0" w:line="20" w:lineRule="exact"/>
        <w:rPr>
          <w:sz w:val="20"/>
          <w:szCs w:val="20"/>
          <w:color w:val="auto"/>
        </w:rPr>
      </w:pPr>
      <w:r>
        <w:rPr>
          <w:sz w:val="20"/>
          <w:szCs w:val="20"/>
          <w:color w:val="auto"/>
        </w:rPr>
        <w:br w:type="column"/>
      </w:r>
    </w:p>
    <w:p>
      <w:pPr>
        <w:ind w:left="1360"/>
        <w:spacing w:after="0"/>
        <w:rPr>
          <w:sz w:val="20"/>
          <w:szCs w:val="20"/>
          <w:color w:val="auto"/>
        </w:rPr>
      </w:pPr>
      <w:r>
        <w:rPr>
          <w:rFonts w:ascii="Courier New" w:cs="Courier New" w:eastAsia="Courier New" w:hAnsi="Courier New"/>
          <w:sz w:val="16"/>
          <w:szCs w:val="16"/>
          <w:color w:val="auto"/>
        </w:rPr>
        <w:t>(1)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1260"/>
        <w:spacing w:after="0"/>
        <w:rPr>
          <w:sz w:val="20"/>
          <w:szCs w:val="20"/>
          <w:color w:val="auto"/>
        </w:rPr>
      </w:pPr>
      <w:r>
        <w:rPr>
          <w:rFonts w:ascii="Courier New" w:cs="Courier New" w:eastAsia="Courier New" w:hAnsi="Courier New"/>
          <w:sz w:val="16"/>
          <w:szCs w:val="16"/>
          <w:color w:val="auto"/>
        </w:rPr>
        <w:t>(29)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ectPr>
          <w:pgSz w:w="11900" w:h="16838" w:orient="portrait"/>
          <w:cols w:equalWidth="0" w:num="3">
            <w:col w:w="6160" w:space="720"/>
            <w:col w:w="1740" w:space="200"/>
            <w:col w:w="1740"/>
          </w:cols>
          <w:pgMar w:left="240" w:top="676" w:right="1099" w:bottom="1440" w:gutter="0" w:footer="0" w:header="0"/>
          <w:type w:val="continuous"/>
        </w:sectPr>
      </w:pPr>
    </w:p>
    <w:p>
      <w:pPr>
        <w:ind w:left="880"/>
        <w:spacing w:after="0"/>
        <w:rPr>
          <w:sz w:val="20"/>
          <w:szCs w:val="20"/>
          <w:color w:val="auto"/>
        </w:rPr>
      </w:pPr>
      <w:r>
        <w:rPr>
          <w:rFonts w:ascii="Courier New" w:cs="Courier New" w:eastAsia="Courier New" w:hAnsi="Courier New"/>
          <w:sz w:val="16"/>
          <w:szCs w:val="16"/>
          <w:color w:val="auto"/>
        </w:rPr>
        <w:t>Net assets available for benefits</w:t>
      </w:r>
    </w:p>
    <w:p>
      <w:pPr>
        <w:sectPr>
          <w:pgSz w:w="11900" w:h="16838" w:orient="portrait"/>
          <w:cols w:equalWidth="0" w:num="1">
            <w:col w:w="10560"/>
          </w:cols>
          <w:pgMar w:left="240" w:top="676" w:right="1099" w:bottom="1440" w:gutter="0" w:footer="0" w:header="0"/>
          <w:type w:val="continuous"/>
        </w:sectPr>
      </w:pP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per Form 5500</w:t>
      </w:r>
    </w:p>
    <w:p>
      <w:pPr>
        <w:spacing w:after="0" w:line="20" w:lineRule="exact"/>
        <w:rPr>
          <w:sz w:val="20"/>
          <w:szCs w:val="20"/>
          <w:color w:val="auto"/>
        </w:rPr>
      </w:pPr>
      <w:r>
        <w:rPr>
          <w:sz w:val="20"/>
          <w:szCs w:val="20"/>
          <w:color w:val="auto"/>
        </w:rPr>
        <w:br w:type="column"/>
      </w:r>
    </w:p>
    <w:p>
      <w:pPr>
        <w:spacing w:after="0"/>
        <w:tabs>
          <w:tab w:leader="none" w:pos="8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178,207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48" w:lineRule="auto"/>
        <w:rPr>
          <w:sz w:val="20"/>
          <w:szCs w:val="20"/>
          <w:color w:val="auto"/>
        </w:rPr>
      </w:pPr>
      <w:r>
        <w:rPr>
          <w:rFonts w:ascii="Courier New" w:cs="Courier New" w:eastAsia="Courier New" w:hAnsi="Courier New"/>
          <w:sz w:val="16"/>
          <w:szCs w:val="16"/>
          <w:color w:val="auto"/>
        </w:rPr>
        <w:t>$ 91,710 ------------------</w:t>
      </w:r>
    </w:p>
    <w:p>
      <w:pPr>
        <w:spacing w:after="0" w:line="200" w:lineRule="exact"/>
        <w:rPr>
          <w:sz w:val="20"/>
          <w:szCs w:val="20"/>
          <w:color w:val="auto"/>
        </w:rPr>
      </w:pPr>
    </w:p>
    <w:p>
      <w:pPr>
        <w:sectPr>
          <w:pgSz w:w="11900" w:h="16838" w:orient="portrait"/>
          <w:cols w:equalWidth="0" w:num="3">
            <w:col w:w="6160" w:space="720"/>
            <w:col w:w="1740" w:space="200"/>
            <w:col w:w="1740"/>
          </w:cols>
          <w:pgMar w:left="240" w:top="676" w:right="1099" w:bottom="1440" w:gutter="0" w:footer="0" w:header="0"/>
          <w:type w:val="continuous"/>
        </w:sectPr>
      </w:pPr>
    </w:p>
    <w:p>
      <w:pPr>
        <w:spacing w:after="0" w:line="171" w:lineRule="exact"/>
        <w:rPr>
          <w:sz w:val="20"/>
          <w:szCs w:val="20"/>
          <w:color w:val="auto"/>
        </w:rPr>
      </w:pPr>
    </w:p>
    <w:p>
      <w:pPr>
        <w:ind w:left="880" w:right="2900"/>
        <w:spacing w:after="0" w:line="248" w:lineRule="auto"/>
        <w:rPr>
          <w:sz w:val="20"/>
          <w:szCs w:val="20"/>
          <w:color w:val="auto"/>
        </w:rPr>
      </w:pPr>
      <w:r>
        <w:rPr>
          <w:rFonts w:ascii="Courier New" w:cs="Courier New" w:eastAsia="Courier New" w:hAnsi="Courier New"/>
          <w:sz w:val="16"/>
          <w:szCs w:val="16"/>
          <w:color w:val="auto"/>
        </w:rPr>
        <w:t>The following is a reconciliation of benefits paid to participants per the financial statements to the Form 5500:</w:t>
      </w:r>
    </w:p>
    <w:p>
      <w:pPr>
        <w:spacing w:after="0" w:line="200" w:lineRule="exact"/>
        <w:rPr>
          <w:sz w:val="20"/>
          <w:szCs w:val="20"/>
          <w:color w:val="auto"/>
        </w:rPr>
      </w:pPr>
    </w:p>
    <w:p>
      <w:pPr>
        <w:spacing w:after="0" w:line="357" w:lineRule="exact"/>
        <w:rPr>
          <w:sz w:val="20"/>
          <w:szCs w:val="20"/>
          <w:color w:val="auto"/>
        </w:rPr>
      </w:pPr>
    </w:p>
    <w:p>
      <w:pPr>
        <w:ind w:left="7180"/>
        <w:spacing w:after="0"/>
        <w:tabs>
          <w:tab w:leader="none" w:pos="9080" w:val="left"/>
        </w:tabs>
        <w:rPr>
          <w:sz w:val="20"/>
          <w:szCs w:val="20"/>
          <w:color w:val="auto"/>
        </w:rPr>
      </w:pPr>
      <w:r>
        <w:rPr>
          <w:rFonts w:ascii="Courier New" w:cs="Courier New" w:eastAsia="Courier New" w:hAnsi="Courier New"/>
          <w:sz w:val="16"/>
          <w:szCs w:val="16"/>
          <w:color w:val="auto"/>
        </w:rPr>
        <w:t>YEAR ENDED</w:t>
      </w:r>
      <w:r>
        <w:rPr>
          <w:sz w:val="20"/>
          <w:szCs w:val="20"/>
          <w:color w:val="auto"/>
        </w:rPr>
        <w:tab/>
      </w:r>
      <w:r>
        <w:rPr>
          <w:rFonts w:ascii="Courier New" w:cs="Courier New" w:eastAsia="Courier New" w:hAnsi="Courier New"/>
          <w:sz w:val="16"/>
          <w:szCs w:val="16"/>
          <w:color w:val="auto"/>
        </w:rPr>
        <w:t>YEAR ENDED</w:t>
      </w:r>
    </w:p>
    <w:p>
      <w:pPr>
        <w:spacing w:after="0" w:line="5" w:lineRule="exact"/>
        <w:rPr>
          <w:sz w:val="20"/>
          <w:szCs w:val="20"/>
          <w:color w:val="auto"/>
        </w:rPr>
      </w:pPr>
    </w:p>
    <w:p>
      <w:pPr>
        <w:ind w:left="7080"/>
        <w:spacing w:after="0"/>
        <w:tabs>
          <w:tab w:leader="none" w:pos="9000" w:val="left"/>
        </w:tabs>
        <w:rPr>
          <w:sz w:val="20"/>
          <w:szCs w:val="20"/>
          <w:color w:val="auto"/>
        </w:rPr>
      </w:pPr>
      <w:r>
        <w:rPr>
          <w:rFonts w:ascii="Courier New" w:cs="Courier New" w:eastAsia="Courier New" w:hAnsi="Courier New"/>
          <w:sz w:val="16"/>
          <w:szCs w:val="16"/>
          <w:color w:val="auto"/>
        </w:rPr>
        <w:t>DECEMBER 31,</w:t>
      </w:r>
      <w:r>
        <w:rPr>
          <w:sz w:val="20"/>
          <w:szCs w:val="20"/>
          <w:color w:val="auto"/>
        </w:rPr>
        <w:tab/>
      </w:r>
      <w:r>
        <w:rPr>
          <w:rFonts w:ascii="Courier New" w:cs="Courier New" w:eastAsia="Courier New" w:hAnsi="Courier New"/>
          <w:sz w:val="16"/>
          <w:szCs w:val="16"/>
          <w:color w:val="auto"/>
        </w:rPr>
        <w:t>DECEMBER 31,</w:t>
      </w:r>
    </w:p>
    <w:p>
      <w:pPr>
        <w:spacing w:after="0" w:line="5" w:lineRule="exact"/>
        <w:rPr>
          <w:sz w:val="20"/>
          <w:szCs w:val="20"/>
          <w:color w:val="auto"/>
        </w:rPr>
      </w:pPr>
    </w:p>
    <w:p>
      <w:pPr>
        <w:ind w:left="7460"/>
        <w:spacing w:after="0"/>
        <w:tabs>
          <w:tab w:leader="none" w:pos="9380" w:val="left"/>
        </w:tabs>
        <w:rPr>
          <w:sz w:val="20"/>
          <w:szCs w:val="20"/>
          <w:color w:val="auto"/>
        </w:rPr>
      </w:pPr>
      <w:r>
        <w:rPr>
          <w:rFonts w:ascii="Courier New" w:cs="Courier New" w:eastAsia="Courier New" w:hAnsi="Courier New"/>
          <w:sz w:val="16"/>
          <w:szCs w:val="16"/>
          <w:color w:val="auto"/>
        </w:rPr>
        <w:t>2001</w:t>
      </w:r>
      <w:r>
        <w:rPr>
          <w:sz w:val="20"/>
          <w:szCs w:val="20"/>
          <w:color w:val="auto"/>
        </w:rPr>
        <w:tab/>
      </w:r>
      <w:r>
        <w:rPr>
          <w:rFonts w:ascii="Courier New" w:cs="Courier New" w:eastAsia="Courier New" w:hAnsi="Courier New"/>
          <w:sz w:val="16"/>
          <w:szCs w:val="16"/>
          <w:color w:val="auto"/>
        </w:rPr>
        <w:t>2000</w:t>
      </w:r>
    </w:p>
    <w:p>
      <w:pPr>
        <w:spacing w:after="0" w:line="5" w:lineRule="exact"/>
        <w:rPr>
          <w:sz w:val="20"/>
          <w:szCs w:val="20"/>
          <w:color w:val="auto"/>
        </w:rPr>
      </w:pPr>
    </w:p>
    <w:p>
      <w:pPr>
        <w:ind w:left="6880"/>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Benefits paid to participants per</w:t>
      </w:r>
    </w:p>
    <w:p>
      <w:pPr>
        <w:sectPr>
          <w:pgSz w:w="11900" w:h="16838" w:orient="portrait"/>
          <w:cols w:equalWidth="0" w:num="1">
            <w:col w:w="10560"/>
          </w:cols>
          <w:pgMar w:left="240" w:top="676" w:right="1099" w:bottom="1440" w:gutter="0" w:footer="0" w:header="0"/>
          <w:type w:val="continuous"/>
        </w:sectPr>
      </w:pP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the financial statements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17,419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5,509</w:t>
      </w:r>
    </w:p>
    <w:p>
      <w:pPr>
        <w:spacing w:after="0" w:line="5" w:lineRule="exact"/>
        <w:rPr>
          <w:sz w:val="20"/>
          <w:szCs w:val="20"/>
          <w:color w:val="auto"/>
        </w:rPr>
      </w:pPr>
    </w:p>
    <w:p>
      <w:pPr>
        <w:sectPr>
          <w:pgSz w:w="11900" w:h="16838" w:orient="portrait"/>
          <w:cols w:equalWidth="0" w:num="5">
            <w:col w:w="6160" w:space="720"/>
            <w:col w:w="240" w:space="720"/>
            <w:col w:w="580" w:space="300"/>
            <w:col w:w="440" w:space="720"/>
            <w:col w:w="680"/>
          </w:cols>
          <w:pgMar w:left="240" w:top="676" w:right="1099" w:bottom="1440" w:gutter="0" w:footer="0" w:header="0"/>
          <w:type w:val="continuous"/>
        </w:sectPr>
      </w:pPr>
    </w:p>
    <w:p>
      <w:pPr>
        <w:ind w:left="880"/>
        <w:spacing w:after="0"/>
        <w:rPr>
          <w:sz w:val="20"/>
          <w:szCs w:val="20"/>
          <w:color w:val="auto"/>
        </w:rPr>
      </w:pPr>
      <w:r>
        <w:rPr>
          <w:rFonts w:ascii="Courier New" w:cs="Courier New" w:eastAsia="Courier New" w:hAnsi="Courier New"/>
          <w:sz w:val="16"/>
          <w:szCs w:val="16"/>
          <w:color w:val="auto"/>
        </w:rPr>
        <w:t>Amounts allocated to withdrawing</w:t>
      </w:r>
    </w:p>
    <w:p>
      <w:pPr>
        <w:sectPr>
          <w:pgSz w:w="11900" w:h="16838" w:orient="portrait"/>
          <w:cols w:equalWidth="0" w:num="1">
            <w:col w:w="10560"/>
          </w:cols>
          <w:pgMar w:left="240" w:top="676" w:right="1099" w:bottom="1440" w:gutter="0" w:footer="0" w:header="0"/>
          <w:type w:val="continuous"/>
        </w:sectPr>
      </w:pP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participants at December 31, 2001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38" w:lineRule="exact"/>
        <w:rPr>
          <w:sz w:val="20"/>
          <w:szCs w:val="20"/>
          <w:color w:val="auto"/>
        </w:rPr>
      </w:pPr>
    </w:p>
    <w:p>
      <w:pPr>
        <w:sectPr>
          <w:pgSz w:w="11900" w:h="16838" w:orient="portrait"/>
          <w:cols w:equalWidth="0" w:num="3">
            <w:col w:w="7620" w:space="720"/>
            <w:col w:w="1220" w:space="720"/>
            <w:col w:w="280"/>
          </w:cols>
          <w:pgMar w:left="240" w:top="676" w:right="1099" w:bottom="1440" w:gutter="0" w:footer="0" w:header="0"/>
          <w:type w:val="continuous"/>
        </w:sectPr>
      </w:pPr>
    </w:p>
    <w:p>
      <w:pPr>
        <w:ind w:left="880"/>
        <w:spacing w:after="0"/>
        <w:rPr>
          <w:sz w:val="20"/>
          <w:szCs w:val="20"/>
          <w:color w:val="auto"/>
        </w:rPr>
      </w:pPr>
      <w:r>
        <w:rPr>
          <w:rFonts w:ascii="Courier New" w:cs="Courier New" w:eastAsia="Courier New" w:hAnsi="Courier New"/>
          <w:sz w:val="16"/>
          <w:szCs w:val="16"/>
          <w:color w:val="auto"/>
        </w:rPr>
        <w:t>Amounts allocated to withdrawing</w:t>
      </w:r>
    </w:p>
    <w:p>
      <w:pPr>
        <w:sectPr>
          <w:pgSz w:w="11900" w:h="16838" w:orient="portrait"/>
          <w:cols w:equalWidth="0" w:num="1">
            <w:col w:w="10560"/>
          </w:cols>
          <w:pgMar w:left="240" w:top="676" w:right="1099" w:bottom="1440" w:gutter="0" w:footer="0" w:header="0"/>
          <w:type w:val="continuous"/>
        </w:sectPr>
      </w:pP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participants at December 31, 2000</w:t>
      </w:r>
    </w:p>
    <w:p>
      <w:pPr>
        <w:spacing w:after="0" w:line="20" w:lineRule="exact"/>
        <w:rPr>
          <w:sz w:val="20"/>
          <w:szCs w:val="20"/>
          <w:color w:val="auto"/>
        </w:rPr>
      </w:pPr>
      <w:r>
        <w:rPr>
          <w:sz w:val="20"/>
          <w:szCs w:val="20"/>
          <w:color w:val="auto"/>
        </w:rPr>
        <w:br w:type="column"/>
      </w:r>
    </w:p>
    <w:p>
      <w:pPr>
        <w:ind w:left="1260"/>
        <w:spacing w:after="0"/>
        <w:tabs>
          <w:tab w:leader="none" w:pos="3280" w:val="left"/>
        </w:tabs>
        <w:rPr>
          <w:sz w:val="20"/>
          <w:szCs w:val="20"/>
          <w:color w:val="auto"/>
        </w:rPr>
      </w:pPr>
      <w:r>
        <w:rPr>
          <w:rFonts w:ascii="Courier New" w:cs="Courier New" w:eastAsia="Courier New" w:hAnsi="Courier New"/>
          <w:sz w:val="16"/>
          <w:szCs w:val="16"/>
          <w:color w:val="auto"/>
        </w:rPr>
        <w:t>(29)</w:t>
      </w:r>
      <w:r>
        <w:rPr>
          <w:sz w:val="20"/>
          <w:szCs w:val="20"/>
          <w:color w:val="auto"/>
        </w:rPr>
        <w:tab/>
      </w:r>
      <w:r>
        <w:rPr>
          <w:rFonts w:ascii="Courier New" w:cs="Courier New" w:eastAsia="Courier New" w:hAnsi="Courier New"/>
          <w:sz w:val="16"/>
          <w:szCs w:val="16"/>
          <w:color w:val="auto"/>
        </w:rPr>
        <w:t>29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sectPr>
          <w:pgSz w:w="11900" w:h="16838" w:orient="portrait"/>
          <w:cols w:equalWidth="0" w:num="2">
            <w:col w:w="6160" w:space="720"/>
            <w:col w:w="3680"/>
          </w:cols>
          <w:pgMar w:left="240" w:top="676" w:right="1099" w:bottom="1440" w:gutter="0" w:footer="0" w:header="0"/>
          <w:type w:val="continuous"/>
        </w:sectPr>
      </w:pPr>
    </w:p>
    <w:p>
      <w:pPr>
        <w:ind w:left="880"/>
        <w:spacing w:after="0"/>
        <w:rPr>
          <w:sz w:val="20"/>
          <w:szCs w:val="20"/>
          <w:color w:val="auto"/>
        </w:rPr>
      </w:pPr>
      <w:r>
        <w:rPr>
          <w:rFonts w:ascii="Courier New" w:cs="Courier New" w:eastAsia="Courier New" w:hAnsi="Courier New"/>
          <w:sz w:val="16"/>
          <w:szCs w:val="16"/>
          <w:color w:val="auto"/>
        </w:rPr>
        <w:t>Benefits paid to participants per</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the Form 5500</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248" w:lineRule="auto"/>
        <w:rPr>
          <w:sz w:val="20"/>
          <w:szCs w:val="20"/>
          <w:color w:val="auto"/>
        </w:rPr>
      </w:pPr>
      <w:r>
        <w:rPr>
          <w:rFonts w:ascii="Courier New" w:cs="Courier New" w:eastAsia="Courier New" w:hAnsi="Courier New"/>
          <w:sz w:val="16"/>
          <w:szCs w:val="16"/>
          <w:color w:val="auto"/>
        </w:rPr>
        <w:t>$ 17,391 $ 5,538 ------------------ -------------------</w:t>
      </w:r>
    </w:p>
    <w:p>
      <w:pPr>
        <w:spacing w:after="0" w:line="200" w:lineRule="exact"/>
        <w:rPr>
          <w:sz w:val="20"/>
          <w:szCs w:val="20"/>
          <w:color w:val="auto"/>
        </w:rPr>
      </w:pPr>
    </w:p>
    <w:p>
      <w:pPr>
        <w:sectPr>
          <w:pgSz w:w="11900" w:h="16838" w:orient="portrait"/>
          <w:cols w:equalWidth="0" w:num="2">
            <w:col w:w="6160" w:space="720"/>
            <w:col w:w="3680"/>
          </w:cols>
          <w:pgMar w:left="240" w:top="676" w:right="1099" w:bottom="1440" w:gutter="0" w:footer="0" w:header="0"/>
          <w:type w:val="continuous"/>
        </w:sectPr>
      </w:pPr>
    </w:p>
    <w:p>
      <w:pPr>
        <w:spacing w:after="0" w:line="35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560"/>
          </w:cols>
          <w:pgMar w:left="240" w:top="676" w:right="1099" w:bottom="1440" w:gutter="0" w:footer="0" w:header="0"/>
          <w:type w:val="continuous"/>
        </w:sectPr>
      </w:pPr>
    </w:p>
    <w:bookmarkStart w:id="11" w:name="page12"/>
    <w:bookmarkEnd w:id="11"/>
    <w:p>
      <w:pPr>
        <w:spacing w:after="0"/>
        <w:rPr>
          <w:sz w:val="20"/>
          <w:szCs w:val="20"/>
          <w:color w:val="auto"/>
        </w:rPr>
      </w:pPr>
      <w:r>
        <w:rPr>
          <w:rFonts w:ascii="Courier New" w:cs="Courier New" w:eastAsia="Courier New" w:hAnsi="Courier New"/>
          <w:sz w:val="16"/>
          <w:szCs w:val="16"/>
          <w:color w:val="auto"/>
        </w:rPr>
        <w:t>SIGNATURES</w:t>
      </w:r>
    </w:p>
    <w:p>
      <w:pPr>
        <w:spacing w:after="0" w:line="191"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THE PLAN. 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186"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THE SCOTTS COMPANY UNION</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RETIREMENT SAVINGS PLAN</w:t>
      </w:r>
    </w:p>
    <w:p>
      <w:pPr>
        <w:sectPr>
          <w:pgSz w:w="11900" w:h="16838" w:orient="portrait"/>
          <w:cols w:equalWidth="0" w:num="1">
            <w:col w:w="10219"/>
          </w:cols>
          <w:pgMar w:left="240" w:top="1049" w:right="1440" w:bottom="1440" w:gutter="0" w:footer="0" w:header="0"/>
        </w:sectPr>
      </w:pP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June 18, 2002</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HADIA LAFAVRE</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sectPr>
          <w:pgSz w:w="11900" w:h="16838" w:orient="portrait"/>
          <w:cols w:equalWidth="0" w:num="2">
            <w:col w:w="3340" w:space="720"/>
            <w:col w:w="6159"/>
          </w:cols>
          <w:pgMar w:left="240" w:top="1049" w:right="1440" w:bottom="1440" w:gutter="0" w:footer="0" w:header="0"/>
          <w:type w:val="continuous"/>
        </w:sectPr>
      </w:pPr>
    </w:p>
    <w:p>
      <w:pPr>
        <w:ind w:left="4060"/>
        <w:spacing w:after="0"/>
        <w:rPr>
          <w:sz w:val="20"/>
          <w:szCs w:val="20"/>
          <w:color w:val="auto"/>
        </w:rPr>
      </w:pPr>
      <w:r>
        <w:rPr>
          <w:rFonts w:ascii="Courier New" w:cs="Courier New" w:eastAsia="Courier New" w:hAnsi="Courier New"/>
          <w:sz w:val="16"/>
          <w:szCs w:val="16"/>
          <w:color w:val="auto"/>
        </w:rPr>
        <w:t>Printed Name: Hadia Lefavre</w:t>
      </w:r>
    </w:p>
    <w:p>
      <w:pPr>
        <w:sectPr>
          <w:pgSz w:w="11900" w:h="16838" w:orient="portrait"/>
          <w:cols w:equalWidth="0" w:num="1">
            <w:col w:w="10219"/>
          </w:cols>
          <w:pgMar w:left="240" w:top="1049" w:right="1440" w:bottom="1440" w:gutter="0" w:footer="0" w:header="0"/>
          <w:type w:val="continuous"/>
        </w:sectPr>
      </w:pPr>
    </w:p>
    <w:p>
      <w:pPr>
        <w:spacing w:after="0" w:line="191"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Human Resources Worldwide</w:t>
      </w:r>
    </w:p>
    <w:p>
      <w:pPr>
        <w:spacing w:after="0" w:line="200" w:lineRule="exact"/>
        <w:rPr>
          <w:sz w:val="20"/>
          <w:szCs w:val="20"/>
          <w:color w:val="auto"/>
        </w:rPr>
      </w:pPr>
    </w:p>
    <w:p>
      <w:pPr>
        <w:sectPr>
          <w:pgSz w:w="11900" w:h="16838" w:orient="portrait"/>
          <w:cols w:equalWidth="0" w:num="2">
            <w:col w:w="4660" w:space="280"/>
            <w:col w:w="5279"/>
          </w:cols>
          <w:pgMar w:left="240" w:top="1049" w:right="1440" w:bottom="1440" w:gutter="0" w:footer="0" w:header="0"/>
          <w:type w:val="continuous"/>
        </w:sectPr>
      </w:pPr>
    </w:p>
    <w:p>
      <w:pPr>
        <w:spacing w:after="0" w:line="200" w:lineRule="exact"/>
        <w:rPr>
          <w:sz w:val="20"/>
          <w:szCs w:val="20"/>
          <w:color w:val="auto"/>
        </w:rPr>
      </w:pPr>
    </w:p>
    <w:p>
      <w:pPr>
        <w:spacing w:after="0" w:line="350"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1049" w:right="1440"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183"/>
        </w:trPr>
        <w:tc>
          <w:tcPr>
            <w:tcW w:w="1400" w:type="dxa"/>
            <w:vAlign w:val="bottom"/>
          </w:tcPr>
          <w:p>
            <w:pPr>
              <w:spacing w:after="0"/>
              <w:rPr>
                <w:sz w:val="15"/>
                <w:szCs w:val="15"/>
                <w:color w:val="auto"/>
              </w:rPr>
            </w:pPr>
          </w:p>
        </w:tc>
        <w:tc>
          <w:tcPr>
            <w:tcW w:w="4900" w:type="dxa"/>
            <w:vAlign w:val="bottom"/>
          </w:tcPr>
          <w:p>
            <w:pPr>
              <w:jc w:val="center"/>
              <w:spacing w:after="0"/>
              <w:rPr>
                <w:sz w:val="20"/>
                <w:szCs w:val="20"/>
                <w:color w:val="auto"/>
              </w:rPr>
            </w:pPr>
            <w:r>
              <w:rPr>
                <w:rFonts w:ascii="Courier New" w:cs="Courier New" w:eastAsia="Courier New" w:hAnsi="Courier New"/>
                <w:sz w:val="16"/>
                <w:szCs w:val="16"/>
                <w:color w:val="auto"/>
              </w:rPr>
              <w:t>THE SCOTTS COMPANY UNION RETIREMENT SAVINGS PLAN</w:t>
            </w:r>
          </w:p>
        </w:tc>
      </w:tr>
      <w:tr>
        <w:trPr>
          <w:trHeight w:val="186"/>
        </w:trPr>
        <w:tc>
          <w:tcPr>
            <w:tcW w:w="1400" w:type="dxa"/>
            <w:vAlign w:val="bottom"/>
          </w:tcPr>
          <w:p>
            <w:pPr>
              <w:spacing w:after="0"/>
              <w:rPr>
                <w:sz w:val="16"/>
                <w:szCs w:val="16"/>
                <w:color w:val="auto"/>
              </w:rPr>
            </w:pPr>
          </w:p>
        </w:tc>
        <w:tc>
          <w:tcPr>
            <w:tcW w:w="4900" w:type="dxa"/>
            <w:vAlign w:val="bottom"/>
          </w:tcPr>
          <w:p>
            <w:pPr>
              <w:jc w:val="center"/>
              <w:spacing w:after="0"/>
              <w:rPr>
                <w:sz w:val="20"/>
                <w:szCs w:val="20"/>
                <w:color w:val="auto"/>
              </w:rPr>
            </w:pPr>
            <w:r>
              <w:rPr>
                <w:rFonts w:ascii="Courier New" w:cs="Courier New" w:eastAsia="Courier New" w:hAnsi="Courier New"/>
                <w:sz w:val="16"/>
                <w:szCs w:val="16"/>
                <w:color w:val="auto"/>
              </w:rPr>
              <w:t>ANNUAL REPORT ON FORM 11-K</w:t>
            </w:r>
          </w:p>
        </w:tc>
      </w:tr>
      <w:tr>
        <w:trPr>
          <w:trHeight w:val="186"/>
        </w:trPr>
        <w:tc>
          <w:tcPr>
            <w:tcW w:w="1400" w:type="dxa"/>
            <w:vAlign w:val="bottom"/>
          </w:tcPr>
          <w:p>
            <w:pPr>
              <w:spacing w:after="0"/>
              <w:rPr>
                <w:sz w:val="16"/>
                <w:szCs w:val="16"/>
                <w:color w:val="auto"/>
              </w:rPr>
            </w:pPr>
          </w:p>
        </w:tc>
        <w:tc>
          <w:tcPr>
            <w:tcW w:w="4900" w:type="dxa"/>
            <w:vAlign w:val="bottom"/>
          </w:tcPr>
          <w:p>
            <w:pPr>
              <w:jc w:val="center"/>
              <w:ind w:left="59"/>
              <w:spacing w:after="0"/>
              <w:rPr>
                <w:sz w:val="20"/>
                <w:szCs w:val="20"/>
                <w:color w:val="auto"/>
              </w:rPr>
            </w:pPr>
            <w:r>
              <w:rPr>
                <w:rFonts w:ascii="Courier New" w:cs="Courier New" w:eastAsia="Courier New" w:hAnsi="Courier New"/>
                <w:sz w:val="16"/>
                <w:szCs w:val="16"/>
                <w:color w:val="auto"/>
              </w:rPr>
              <w:t>FOR FISCAL YEARS ENDED DECEMBER 31, 2001 AND 2000</w:t>
            </w:r>
          </w:p>
        </w:tc>
      </w:tr>
      <w:tr>
        <w:trPr>
          <w:trHeight w:val="373"/>
        </w:trPr>
        <w:tc>
          <w:tcPr>
            <w:tcW w:w="1400" w:type="dxa"/>
            <w:vAlign w:val="bottom"/>
          </w:tcPr>
          <w:p>
            <w:pPr>
              <w:spacing w:after="0"/>
              <w:rPr>
                <w:sz w:val="24"/>
                <w:szCs w:val="24"/>
                <w:color w:val="auto"/>
              </w:rPr>
            </w:pPr>
          </w:p>
        </w:tc>
        <w:tc>
          <w:tcPr>
            <w:tcW w:w="4900" w:type="dxa"/>
            <w:vAlign w:val="bottom"/>
          </w:tcPr>
          <w:p>
            <w:pPr>
              <w:jc w:val="center"/>
              <w:ind w:left="59"/>
              <w:spacing w:after="0"/>
              <w:rPr>
                <w:sz w:val="20"/>
                <w:szCs w:val="20"/>
                <w:color w:val="auto"/>
              </w:rPr>
            </w:pPr>
            <w:r>
              <w:rPr>
                <w:rFonts w:ascii="Courier New" w:cs="Courier New" w:eastAsia="Courier New" w:hAnsi="Courier New"/>
                <w:sz w:val="16"/>
                <w:szCs w:val="16"/>
                <w:color w:val="auto"/>
              </w:rPr>
              <w:t>INDEX TO EXHIBITS</w:t>
            </w:r>
          </w:p>
        </w:tc>
      </w:tr>
      <w:tr>
        <w:trPr>
          <w:trHeight w:val="373"/>
        </w:trPr>
        <w:tc>
          <w:tcPr>
            <w:tcW w:w="1400" w:type="dxa"/>
            <w:vAlign w:val="bottom"/>
          </w:tcPr>
          <w:p>
            <w:pPr>
              <w:spacing w:after="0"/>
              <w:rPr>
                <w:sz w:val="20"/>
                <w:szCs w:val="20"/>
                <w:color w:val="auto"/>
              </w:rPr>
            </w:pPr>
            <w:r>
              <w:rPr>
                <w:rFonts w:ascii="Courier New" w:cs="Courier New" w:eastAsia="Courier New" w:hAnsi="Courier New"/>
                <w:sz w:val="16"/>
                <w:szCs w:val="16"/>
                <w:color w:val="auto"/>
              </w:rPr>
              <w:t>EXHIBIT NO.</w:t>
            </w:r>
          </w:p>
        </w:tc>
        <w:tc>
          <w:tcPr>
            <w:tcW w:w="4900" w:type="dxa"/>
            <w:vAlign w:val="bottom"/>
          </w:tcPr>
          <w:p>
            <w:pPr>
              <w:jc w:val="center"/>
              <w:ind w:left="79"/>
              <w:spacing w:after="0"/>
              <w:rPr>
                <w:sz w:val="20"/>
                <w:szCs w:val="20"/>
                <w:color w:val="auto"/>
              </w:rPr>
            </w:pPr>
            <w:r>
              <w:rPr>
                <w:rFonts w:ascii="Courier New" w:cs="Courier New" w:eastAsia="Courier New" w:hAnsi="Courier New"/>
                <w:sz w:val="16"/>
                <w:szCs w:val="16"/>
                <w:color w:val="auto"/>
              </w:rPr>
              <w:t>DESCRIPTION</w:t>
            </w:r>
          </w:p>
        </w:tc>
      </w:tr>
      <w:tr>
        <w:trPr>
          <w:trHeight w:val="186"/>
        </w:trPr>
        <w:tc>
          <w:tcPr>
            <w:tcW w:w="14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4900" w:type="dxa"/>
            <w:vAlign w:val="bottom"/>
          </w:tcPr>
          <w:p>
            <w:pPr>
              <w:jc w:val="right"/>
              <w:ind w:right="1559"/>
              <w:spacing w:after="0"/>
              <w:rPr>
                <w:sz w:val="20"/>
                <w:szCs w:val="20"/>
                <w:color w:val="auto"/>
              </w:rPr>
            </w:pPr>
            <w:r>
              <w:rPr>
                <w:rFonts w:ascii="Courier New" w:cs="Courier New" w:eastAsia="Courier New" w:hAnsi="Courier New"/>
                <w:sz w:val="16"/>
                <w:szCs w:val="16"/>
                <w:color w:val="auto"/>
              </w:rPr>
              <w:t>-----------</w:t>
            </w:r>
          </w:p>
        </w:tc>
      </w:tr>
      <w:tr>
        <w:trPr>
          <w:trHeight w:val="373"/>
        </w:trPr>
        <w:tc>
          <w:tcPr>
            <w:tcW w:w="1400" w:type="dxa"/>
            <w:vAlign w:val="bottom"/>
          </w:tcPr>
          <w:p>
            <w:pPr>
              <w:spacing w:after="0"/>
              <w:rPr>
                <w:sz w:val="20"/>
                <w:szCs w:val="20"/>
                <w:color w:val="auto"/>
              </w:rPr>
            </w:pPr>
            <w:r>
              <w:rPr>
                <w:rFonts w:ascii="Courier New" w:cs="Courier New" w:eastAsia="Courier New" w:hAnsi="Courier New"/>
                <w:sz w:val="16"/>
                <w:szCs w:val="16"/>
                <w:color w:val="auto"/>
              </w:rPr>
              <w:t>23</w:t>
            </w:r>
          </w:p>
        </w:tc>
        <w:tc>
          <w:tcPr>
            <w:tcW w:w="49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Consent of Independent Public</w:t>
            </w:r>
          </w:p>
        </w:tc>
      </w:tr>
      <w:tr>
        <w:trPr>
          <w:trHeight w:val="186"/>
        </w:trPr>
        <w:tc>
          <w:tcPr>
            <w:tcW w:w="1400" w:type="dxa"/>
            <w:vAlign w:val="bottom"/>
          </w:tcPr>
          <w:p>
            <w:pPr>
              <w:spacing w:after="0"/>
              <w:rPr>
                <w:sz w:val="16"/>
                <w:szCs w:val="16"/>
                <w:color w:val="auto"/>
              </w:rPr>
            </w:pPr>
          </w:p>
        </w:tc>
        <w:tc>
          <w:tcPr>
            <w:tcW w:w="4900" w:type="dxa"/>
            <w:vAlign w:val="bottom"/>
          </w:tcPr>
          <w:p>
            <w:pPr>
              <w:jc w:val="center"/>
              <w:ind w:left="79"/>
              <w:spacing w:after="0"/>
              <w:rPr>
                <w:sz w:val="20"/>
                <w:szCs w:val="20"/>
                <w:color w:val="auto"/>
              </w:rPr>
            </w:pPr>
            <w:r>
              <w:rPr>
                <w:rFonts w:ascii="Courier New" w:cs="Courier New" w:eastAsia="Courier New" w:hAnsi="Courier New"/>
                <w:sz w:val="16"/>
                <w:szCs w:val="16"/>
                <w:color w:val="auto"/>
              </w:rPr>
              <w:t>Accountants</w:t>
            </w:r>
          </w:p>
        </w:tc>
      </w:tr>
      <w:tr>
        <w:trPr>
          <w:trHeight w:val="745"/>
        </w:trPr>
        <w:tc>
          <w:tcPr>
            <w:tcW w:w="1400" w:type="dxa"/>
            <w:vAlign w:val="bottom"/>
          </w:tcPr>
          <w:p>
            <w:pPr>
              <w:spacing w:after="0"/>
              <w:rPr>
                <w:sz w:val="24"/>
                <w:szCs w:val="24"/>
                <w:color w:val="auto"/>
              </w:rPr>
            </w:pPr>
          </w:p>
        </w:tc>
        <w:tc>
          <w:tcPr>
            <w:tcW w:w="4900" w:type="dxa"/>
            <w:vAlign w:val="bottom"/>
          </w:tcPr>
          <w:p>
            <w:pPr>
              <w:jc w:val="center"/>
              <w:spacing w:after="0"/>
              <w:rPr>
                <w:sz w:val="20"/>
                <w:szCs w:val="20"/>
                <w:color w:val="auto"/>
              </w:rPr>
            </w:pPr>
            <w:r>
              <w:rPr>
                <w:rFonts w:ascii="Courier New" w:cs="Courier New" w:eastAsia="Courier New" w:hAnsi="Courier New"/>
                <w:sz w:val="16"/>
                <w:szCs w:val="16"/>
                <w:color w:val="auto"/>
                <w:w w:val="98"/>
              </w:rPr>
              <w:t>-11-</w:t>
            </w:r>
          </w:p>
        </w:tc>
      </w:tr>
    </w:tbl>
    <w:p>
      <w:pPr>
        <w:sectPr>
          <w:pgSz w:w="11900" w:h="16838" w:orient="portrait"/>
          <w:cols w:equalWidth="0" w:num="1">
            <w:col w:w="10219"/>
          </w:cols>
          <w:pgMar w:left="240" w:top="1049" w:right="1440" w:bottom="1440" w:gutter="0" w:footer="0" w:header="0"/>
        </w:sectPr>
      </w:pPr>
    </w:p>
    <w:bookmarkStart w:id="13" w:name="page14"/>
    <w:bookmarkEnd w:id="13"/>
    <w:p>
      <w:pPr>
        <w:jc w:val="right"/>
        <w:ind w:right="2459"/>
        <w:spacing w:after="0"/>
        <w:rPr>
          <w:sz w:val="20"/>
          <w:szCs w:val="20"/>
          <w:color w:val="auto"/>
        </w:rPr>
      </w:pPr>
      <w:r>
        <w:rPr>
          <w:rFonts w:ascii="Courier New" w:cs="Courier New" w:eastAsia="Courier New" w:hAnsi="Courier New"/>
          <w:sz w:val="16"/>
          <w:szCs w:val="16"/>
          <w:color w:val="auto"/>
        </w:rPr>
        <w:t>EXHIBIT 23</w:t>
      </w:r>
    </w:p>
    <w:p>
      <w:pPr>
        <w:spacing w:after="0" w:line="191"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191"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We hereby consent to the incorporation by reference in the Registration Statement on Form S-8 (File No. 333-35942) of The Scotts Company of our report dated April 9, 2002 relating to the financial statements of The Scotts Company Union Retirement Savings Plan, which appears in this Form 11-K.</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PRICEWATERHOUSECOOPERS LLP</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Columbus, Ohio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18, 2002</w:t>
      </w:r>
    </w:p>
    <w:p>
      <w:pPr>
        <w:spacing w:after="0" w:line="200" w:lineRule="exact"/>
        <w:rPr>
          <w:sz w:val="20"/>
          <w:szCs w:val="20"/>
          <w:color w:val="auto"/>
        </w:rPr>
      </w:pPr>
    </w:p>
    <w:p>
      <w:pPr>
        <w:spacing w:after="0" w:line="36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-12-</w:t>
      </w:r>
    </w:p>
    <w:sectPr>
      <w:pgSz w:w="11900" w:h="16838" w:orient="portrait"/>
      <w:cols w:equalWidth="0" w:num="1">
        <w:col w:w="10219"/>
      </w:cols>
      <w:pgMar w:left="240" w:top="3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lvl w:ilvl="1">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
      <w:numFmt w:val="bullet"/>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4"/>
    </w:lvl>
  </w:abstractNum>
  <w:abstractNum w:abstractNumId="4">
    <w:nsid w:val="46E87CCD"/>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2019-12-20T06:15:37Z</dcterms:created>
  <dcterms:modified xsi:type="dcterms:W3CDTF">2019-12-20T06:15:37Z</dcterms:modified>
</cp:coreProperties>
</file>