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03/21/2013</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03/21/2013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1,171.726</w:t>
            </w:r>
            <w:r>
              <w:rPr>
                <w:rFonts w:ascii="Arial" w:cs="Arial" w:eastAsia="Arial" w:hAnsi="Arial"/>
                <w:sz w:val="22"/>
                <w:szCs w:val="22"/>
                <w:color w:val="008000"/>
                <w:vertAlign w:val="superscript"/>
              </w:rPr>
              <w:t>(1)</w:t>
            </w: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44.81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34,044.175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34,833.042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2,427,726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HPLP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5,482.7295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common shares of the Issuer ("Common Shares") represented by amount credited to the benchmark Company stock fund within the reporting person's bookkeeping account under The Scotts Company LLC Executive Retirement Plan.</w:t>
      </w:r>
    </w:p>
    <w:p>
      <w:pPr>
        <w:spacing w:after="0" w:line="30"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Exchange Act Rule 16a-1(a)(1), the reporting person may be deemed, solely for purposes of determining whether he is a beneficial owner of more than 10% of the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ectPr>
          <w:pgSz w:w="11900" w:h="16838" w:orient="portrait"/>
          <w:cols w:equalWidth="0" w:num="1">
            <w:col w:w="11420"/>
          </w:cols>
          <w:pgMar w:left="240" w:top="226" w:right="239" w:bottom="144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0000FF"/>
        </w:rPr>
        <w:t>03/22/2013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April, 2009.</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2019-12-23T22:38:03Z</dcterms:created>
  <dcterms:modified xsi:type="dcterms:W3CDTF">2019-12-23T22:38:03Z</dcterms:modified>
</cp:coreProperties>
</file>