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9"/>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11-K</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620" w:right="4459" w:hanging="447"/>
        <w:spacing w:after="0" w:line="243"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 the fiscal year ended December 31, 2002</w:t>
      </w:r>
    </w:p>
    <w:p>
      <w:pPr>
        <w:spacing w:after="0" w:line="350"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980" w:right="5079" w:hanging="807"/>
        <w:spacing w:after="0" w:line="243"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 the transition period from _____________ to ___________</w:t>
      </w:r>
    </w:p>
    <w:p>
      <w:pPr>
        <w:spacing w:after="0" w:line="35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Commission file number 333-35942</w:t>
      </w:r>
    </w:p>
    <w:p>
      <w:pPr>
        <w:spacing w:after="0" w:line="200" w:lineRule="exact"/>
        <w:rPr>
          <w:sz w:val="24"/>
          <w:szCs w:val="24"/>
          <w:color w:val="auto"/>
        </w:rPr>
      </w:pPr>
    </w:p>
    <w:p>
      <w:pPr>
        <w:spacing w:after="0" w:line="324" w:lineRule="exact"/>
        <w:rPr>
          <w:sz w:val="24"/>
          <w:szCs w:val="24"/>
          <w:color w:val="auto"/>
        </w:rPr>
      </w:pPr>
    </w:p>
    <w:p>
      <w:pPr>
        <w:ind w:right="3099" w:firstLine="631"/>
        <w:spacing w:after="0" w:line="243"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349"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Union Retirement Savings Plan</w:t>
      </w:r>
    </w:p>
    <w:p>
      <w:pPr>
        <w:spacing w:after="0" w:line="200" w:lineRule="exact"/>
        <w:rPr>
          <w:sz w:val="24"/>
          <w:szCs w:val="24"/>
          <w:color w:val="auto"/>
        </w:rPr>
      </w:pPr>
    </w:p>
    <w:p>
      <w:pPr>
        <w:spacing w:after="0" w:line="324" w:lineRule="exact"/>
        <w:rPr>
          <w:sz w:val="24"/>
          <w:szCs w:val="24"/>
          <w:color w:val="auto"/>
        </w:rPr>
      </w:pPr>
    </w:p>
    <w:p>
      <w:pPr>
        <w:ind w:right="3379" w:firstLine="631"/>
        <w:spacing w:after="0" w:line="243"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349"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Marysville, Ohio 43041</w:t>
      </w:r>
    </w:p>
    <w:p>
      <w:pPr>
        <w:sectPr>
          <w:pgSz w:w="11900" w:h="16838" w:orient="portrait"/>
          <w:cols w:equalWidth="0" w:num="1">
            <w:col w:w="10219"/>
          </w:cols>
          <w:pgMar w:left="240" w:top="753" w:right="1440" w:bottom="1440" w:gutter="0" w:footer="0" w:header="0"/>
        </w:sectPr>
      </w:pPr>
    </w:p>
    <w:bookmarkStart w:id="1" w:name="page2"/>
    <w:bookmarkEnd w:id="1"/>
    <w:p>
      <w:pPr>
        <w:ind w:left="2700"/>
        <w:spacing w:after="0"/>
        <w:rPr>
          <w:sz w:val="20"/>
          <w:szCs w:val="20"/>
          <w:color w:val="auto"/>
        </w:rPr>
      </w:pPr>
      <w:r>
        <w:rPr>
          <w:rFonts w:ascii="Courier New" w:cs="Courier New" w:eastAsia="Courier New" w:hAnsi="Courier New"/>
          <w:sz w:val="15"/>
          <w:szCs w:val="15"/>
          <w:color w:val="auto"/>
        </w:rPr>
        <w:t>REQUIRED INFORMATION</w:t>
      </w:r>
    </w:p>
    <w:p>
      <w:pPr>
        <w:spacing w:after="0" w:line="178" w:lineRule="exact"/>
        <w:rPr>
          <w:sz w:val="20"/>
          <w:szCs w:val="20"/>
          <w:color w:val="auto"/>
        </w:rPr>
      </w:pPr>
    </w:p>
    <w:p>
      <w:pPr>
        <w:ind w:right="3199" w:firstLine="631"/>
        <w:spacing w:after="0" w:line="243" w:lineRule="auto"/>
        <w:rPr>
          <w:sz w:val="20"/>
          <w:szCs w:val="20"/>
          <w:color w:val="auto"/>
        </w:rPr>
      </w:pPr>
      <w:r>
        <w:rPr>
          <w:rFonts w:ascii="Courier New" w:cs="Courier New" w:eastAsia="Courier New" w:hAnsi="Courier New"/>
          <w:sz w:val="15"/>
          <w:szCs w:val="15"/>
          <w:color w:val="auto"/>
        </w:rPr>
        <w:t>The following financial statements [and supplemental schedule?] for The Scotts Company Union Retirement Savings Plan are being filed herewith: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Statements of Net Assets in Liquidation Available</w:t>
      </w:r>
    </w:p>
    <w:p>
      <w:pPr>
        <w:spacing w:after="0" w:line="3"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for Benefits as of December 31, 2002 and 2001</w:t>
      </w:r>
    </w:p>
    <w:p>
      <w:pPr>
        <w:spacing w:after="0" w:line="178" w:lineRule="exact"/>
        <w:rPr>
          <w:sz w:val="20"/>
          <w:szCs w:val="20"/>
          <w:color w:val="auto"/>
        </w:rPr>
      </w:pPr>
    </w:p>
    <w:p>
      <w:pPr>
        <w:ind w:left="980" w:right="3639" w:hanging="179"/>
        <w:spacing w:after="0" w:line="243" w:lineRule="auto"/>
        <w:rPr>
          <w:sz w:val="20"/>
          <w:szCs w:val="20"/>
          <w:color w:val="auto"/>
        </w:rPr>
      </w:pPr>
      <w:r>
        <w:rPr>
          <w:rFonts w:ascii="Courier New" w:cs="Courier New" w:eastAsia="Courier New" w:hAnsi="Courier New"/>
          <w:sz w:val="15"/>
          <w:szCs w:val="15"/>
          <w:color w:val="auto"/>
        </w:rPr>
        <w:t>Statements of Changes in Net Assets in Liquidation Available for Benefits for the Years Ended December 31, 2002 and 2001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Financial Statements - December 31, 2002 and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OF ASSETS HELD FOR INVESTMENT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PURPOSES AS OF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following exhibits are being filed herewith:</w:t>
      </w:r>
    </w:p>
    <w:p>
      <w:pPr>
        <w:sectPr>
          <w:pgSz w:w="11900" w:h="16838" w:orient="portrait"/>
          <w:cols w:equalWidth="0" w:num="1">
            <w:col w:w="10219"/>
          </w:cols>
          <w:pgMar w:left="240" w:top="81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1160" w:space="720"/>
            <w:col w:w="8339"/>
          </w:cols>
          <w:pgMar w:left="240" w:top="81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7" w:lineRule="exact"/>
        <w:rPr>
          <w:sz w:val="20"/>
          <w:szCs w:val="20"/>
          <w:color w:val="auto"/>
        </w:rPr>
      </w:pPr>
    </w:p>
    <w:p>
      <w:pPr>
        <w:sectPr>
          <w:pgSz w:w="11900" w:h="16838" w:orient="portrait"/>
          <w:cols w:equalWidth="0" w:num="2">
            <w:col w:w="1160" w:space="720"/>
            <w:col w:w="8339"/>
          </w:cols>
          <w:pgMar w:left="240" w:top="81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jc w:val="both"/>
        <w:ind w:right="3379"/>
        <w:spacing w:after="0" w:line="244" w:lineRule="auto"/>
        <w:rPr>
          <w:sz w:val="20"/>
          <w:szCs w:val="20"/>
          <w:color w:val="auto"/>
        </w:rPr>
      </w:pPr>
      <w:r>
        <w:rPr>
          <w:rFonts w:ascii="Courier New" w:cs="Courier New" w:eastAsia="Courier New" w:hAnsi="Courier New"/>
          <w:sz w:val="15"/>
          <w:szCs w:val="15"/>
          <w:color w:val="auto"/>
        </w:rPr>
        <w:t>Certification Pursuant to Title 18, United States Code,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160" w:space="720"/>
            <w:col w:w="8339"/>
          </w:cols>
          <w:pgMar w:left="240" w:top="811" w:right="1440"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811" w:right="1440" w:bottom="1440" w:gutter="0" w:footer="0" w:header="0"/>
          <w:type w:val="continuous"/>
        </w:sectPr>
      </w:pPr>
    </w:p>
    <w:bookmarkStart w:id="2" w:name="page3"/>
    <w:bookmarkEnd w:id="2"/>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SCOTTS COMPANY UNION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RETIREMENT SAVINGS PLAN</w:t>
      </w:r>
    </w:p>
    <w:p>
      <w:pPr>
        <w:sectPr>
          <w:pgSz w:w="11900" w:h="16838" w:orient="portrait"/>
          <w:cols w:equalWidth="0" w:num="1">
            <w:col w:w="10219"/>
          </w:cols>
          <w:pgMar w:left="240" w:top="81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George A. Murphy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520" w:space="720"/>
            <w:col w:w="6979"/>
          </w:cols>
          <w:pgMar w:left="240" w:top="811"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Printed Name: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George A. Murphy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4420" w:space="80"/>
            <w:col w:w="5719"/>
          </w:cols>
          <w:pgMar w:left="240" w:top="811"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Title: Vice President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p>
      <w:pPr>
        <w:ind w:left="6580"/>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5"/>
          <w:szCs w:val="15"/>
          <w:color w:val="auto"/>
        </w:rPr>
        <w:t>Report of Independent Accountants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Statements of Net Assets in Liquidation Available for Benefits</w:t>
      </w:r>
    </w:p>
    <w:p>
      <w:pPr>
        <w:spacing w:after="0" w:line="3" w:lineRule="exact"/>
        <w:rPr>
          <w:sz w:val="20"/>
          <w:szCs w:val="20"/>
          <w:color w:val="auto"/>
        </w:rPr>
      </w:pPr>
    </w:p>
    <w:p>
      <w:pPr>
        <w:ind w:left="540"/>
        <w:spacing w:after="0"/>
        <w:tabs>
          <w:tab w:leader="none" w:pos="6740" w:val="left"/>
        </w:tabs>
        <w:rPr>
          <w:sz w:val="20"/>
          <w:szCs w:val="20"/>
          <w:color w:val="auto"/>
        </w:rPr>
      </w:pPr>
      <w:r>
        <w:rPr>
          <w:rFonts w:ascii="Courier New" w:cs="Courier New" w:eastAsia="Courier New" w:hAnsi="Courier New"/>
          <w:sz w:val="15"/>
          <w:szCs w:val="15"/>
          <w:color w:val="auto"/>
        </w:rPr>
        <w:t>as of December 31, 2002 and 2001</w:t>
      </w:r>
      <w:r>
        <w:rPr>
          <w:sz w:val="20"/>
          <w:szCs w:val="20"/>
          <w:color w:val="auto"/>
        </w:rPr>
        <w:tab/>
      </w:r>
      <w:r>
        <w:rPr>
          <w:rFonts w:ascii="Courier New" w:cs="Courier New" w:eastAsia="Courier New" w:hAnsi="Courier New"/>
          <w:sz w:val="13"/>
          <w:szCs w:val="13"/>
          <w:color w:val="auto"/>
        </w:rPr>
        <w:t>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Statements of Changes in Net Assets in Liquidation Available for</w:t>
      </w:r>
    </w:p>
    <w:p>
      <w:pPr>
        <w:spacing w:after="0" w:line="3" w:lineRule="exact"/>
        <w:rPr>
          <w:sz w:val="20"/>
          <w:szCs w:val="20"/>
          <w:color w:val="auto"/>
        </w:rPr>
      </w:pPr>
    </w:p>
    <w:p>
      <w:pPr>
        <w:ind w:left="540"/>
        <w:spacing w:after="0"/>
        <w:tabs>
          <w:tab w:leader="none" w:pos="6740" w:val="left"/>
        </w:tabs>
        <w:rPr>
          <w:sz w:val="20"/>
          <w:szCs w:val="20"/>
          <w:color w:val="auto"/>
        </w:rPr>
      </w:pPr>
      <w:r>
        <w:rPr>
          <w:rFonts w:ascii="Courier New" w:cs="Courier New" w:eastAsia="Courier New" w:hAnsi="Courier New"/>
          <w:sz w:val="15"/>
          <w:szCs w:val="15"/>
          <w:color w:val="auto"/>
        </w:rPr>
        <w:t>Benefits for the Years Ended December 31, 2002 and 2001</w:t>
      </w:r>
      <w:r>
        <w:rPr>
          <w:sz w:val="20"/>
          <w:szCs w:val="20"/>
          <w:color w:val="auto"/>
        </w:rPr>
        <w:tab/>
      </w:r>
      <w:r>
        <w:rPr>
          <w:rFonts w:ascii="Courier New" w:cs="Courier New" w:eastAsia="Courier New" w:hAnsi="Courier New"/>
          <w:sz w:val="13"/>
          <w:szCs w:val="13"/>
          <w:color w:val="auto"/>
        </w:rPr>
        <w:t>3</w:t>
      </w:r>
    </w:p>
    <w:p>
      <w:pPr>
        <w:spacing w:after="0" w:line="177" w:lineRule="exact"/>
        <w:rPr>
          <w:sz w:val="20"/>
          <w:szCs w:val="20"/>
          <w:color w:val="auto"/>
        </w:rPr>
      </w:pPr>
    </w:p>
    <w:p>
      <w:pPr>
        <w:ind w:left="360"/>
        <w:spacing w:after="0"/>
        <w:tabs>
          <w:tab w:leader="none" w:pos="6740" w:val="left"/>
        </w:tabs>
        <w:rPr>
          <w:sz w:val="20"/>
          <w:szCs w:val="20"/>
          <w:color w:val="auto"/>
        </w:rPr>
      </w:pPr>
      <w:r>
        <w:rPr>
          <w:rFonts w:ascii="Courier New" w:cs="Courier New" w:eastAsia="Courier New" w:hAnsi="Courier New"/>
          <w:sz w:val="15"/>
          <w:szCs w:val="15"/>
          <w:color w:val="auto"/>
        </w:rPr>
        <w:t>Notes to Financial Statements</w:t>
      </w:r>
      <w:r>
        <w:rPr>
          <w:sz w:val="20"/>
          <w:szCs w:val="20"/>
          <w:color w:val="auto"/>
        </w:rPr>
        <w:tab/>
      </w:r>
      <w:r>
        <w:rPr>
          <w:rFonts w:ascii="Courier New" w:cs="Courier New" w:eastAsia="Courier New" w:hAnsi="Courier New"/>
          <w:sz w:val="13"/>
          <w:szCs w:val="13"/>
          <w:color w:val="auto"/>
        </w:rPr>
        <w:t>4</w:t>
      </w:r>
    </w:p>
    <w:p>
      <w:pPr>
        <w:sectPr>
          <w:pgSz w:w="11900" w:h="16838" w:orient="portrait"/>
          <w:cols w:equalWidth="0" w:num="1">
            <w:col w:w="10219"/>
          </w:cols>
          <w:pgMar w:left="240" w:top="464" w:right="1440" w:bottom="1440" w:gutter="0" w:footer="0" w:header="0"/>
        </w:sectPr>
      </w:pPr>
    </w:p>
    <w:bookmarkStart w:id="4" w:name="page5"/>
    <w:bookmarkEnd w:id="4"/>
    <w:p>
      <w:pPr>
        <w:ind w:left="21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Participants and Administrator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35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our opinion, the accompanying statements of net assets available for benefits and the related statements of changes in net assets available for benefits present fairly, in all material respects, the net assets available for benefits of The Scotts Company Union Retirement Savings Plan (the "Plan") at December 31, 2002 and 2001, and the changes in net assets available for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0"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As further discussed in Note 1 to the financial statements, The Scotts Company, the Plan's sponsor, notified participants of its intent to terminate the Plan in 2003. In accordance with accounting principles generally accepted in the United States of America, the Plan has changed its basis of accounting from the ongoing basis used in presenting the 2001 financial statements to the liquidation basis used in presenting the 2002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 2003</w:t>
      </w:r>
    </w:p>
    <w:p>
      <w:pPr>
        <w:sectPr>
          <w:pgSz w:w="11900" w:h="16838" w:orient="portrait"/>
          <w:cols w:equalWidth="0" w:num="1">
            <w:col w:w="10219"/>
          </w:cols>
          <w:pgMar w:left="240" w:top="9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NET ASSETS IN LIQUIDATION AVAILABLE FOR BENEFITS (SEE NOTE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Investment in master trust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$123,532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$163,975</w:t>
            </w:r>
          </w:p>
        </w:tc>
      </w:tr>
      <w:tr>
        <w:trPr>
          <w:trHeight w:val="173"/>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Participant loans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6,090</w:t>
            </w:r>
          </w:p>
        </w:tc>
      </w:tr>
      <w:tr>
        <w:trPr>
          <w:trHeight w:val="173"/>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Employer contribution receivable</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3,087</w:t>
            </w:r>
          </w:p>
        </w:tc>
      </w:tr>
      <w:tr>
        <w:trPr>
          <w:trHeight w:val="173"/>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Employee contribution receivable</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5,056</w:t>
            </w:r>
          </w:p>
        </w:tc>
      </w:tr>
      <w:tr>
        <w:trPr>
          <w:trHeight w:val="173"/>
        </w:trPr>
        <w:tc>
          <w:tcPr>
            <w:tcW w:w="46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Total net assets available for benefits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$178,208</w:t>
            </w:r>
          </w:p>
        </w:tc>
      </w:tr>
      <w:tr>
        <w:trPr>
          <w:trHeight w:val="173"/>
        </w:trPr>
        <w:tc>
          <w:tcPr>
            <w:tcW w:w="46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8" w:lineRule="exact"/>
        <w:rPr>
          <w:sz w:val="20"/>
          <w:szCs w:val="20"/>
          <w:color w:val="auto"/>
        </w:rPr>
      </w:pPr>
    </w:p>
    <w:p>
      <w:pPr>
        <w:ind w:right="4459"/>
        <w:spacing w:after="0" w:line="243" w:lineRule="auto"/>
        <w:rPr>
          <w:sz w:val="20"/>
          <w:szCs w:val="20"/>
          <w:color w:val="auto"/>
        </w:rPr>
      </w:pPr>
      <w:r>
        <w:rPr>
          <w:rFonts w:ascii="Courier New" w:cs="Courier New" w:eastAsia="Courier New" w:hAnsi="Courier New"/>
          <w:sz w:val="15"/>
          <w:szCs w:val="15"/>
          <w:color w:val="auto"/>
        </w:rPr>
        <w:t>STATEMENTS OF CHANGES IN NET ASSETS IN LIQUIDATION AVAILABLE FOR BENEFITS (SEE NOTE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2002 AND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520"/>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Increases: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Employer contributions</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24,767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37,559</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Participant contributions</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43,769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72,012</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Interest on participant loans</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Total increases</w:t>
            </w:r>
          </w:p>
        </w:tc>
        <w:tc>
          <w:tcPr>
            <w:tcW w:w="42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68,858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109,917</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Decreases: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Net loss from master trust</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20,381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6,029</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Benefits paid to participants</w:t>
            </w:r>
          </w:p>
        </w:tc>
        <w:tc>
          <w:tcPr>
            <w:tcW w:w="4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100,235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17,419</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Total decreases</w:t>
            </w:r>
          </w:p>
        </w:tc>
        <w:tc>
          <w:tcPr>
            <w:tcW w:w="42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120,616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23,448</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(decrease) increase in net assets available for benefits</w:t>
            </w:r>
          </w:p>
        </w:tc>
        <w:tc>
          <w:tcPr>
            <w:tcW w:w="4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(51,758)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86,469</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beginning of year</w:t>
            </w:r>
          </w:p>
        </w:tc>
        <w:tc>
          <w:tcPr>
            <w:tcW w:w="42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178,208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91,739</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end of year</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126,450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$ 178,208</w:t>
            </w:r>
          </w:p>
        </w:tc>
      </w:tr>
      <w:tr>
        <w:trPr>
          <w:trHeight w:val="173"/>
        </w:trPr>
        <w:tc>
          <w:tcPr>
            <w:tcW w:w="5620" w:type="dxa"/>
            <w:vAlign w:val="bottom"/>
          </w:tcPr>
          <w:p>
            <w:pPr>
              <w:spacing w:after="0"/>
              <w:rPr>
                <w:sz w:val="15"/>
                <w:szCs w:val="15"/>
                <w:color w:val="auto"/>
              </w:rPr>
            </w:pP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1" w:right="1440" w:bottom="1440" w:gutter="0" w:footer="0" w:header="0"/>
        </w:sectPr>
      </w:pPr>
    </w:p>
    <w:bookmarkStart w:id="7" w:name="page8"/>
    <w:bookmarkEnd w:id="7"/>
    <w:p>
      <w:pPr>
        <w:ind w:left="8"/>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 AND BASIS OF ACCOUNTING</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restructuring that took place in their fiscal year ended September 30, 2001, The Scotts Company (the "Company"), sponsor of The Scotts Company Union Retirement Savings Plan (the "Plan"), made the decision to close the Sierra Horticultural Products facility in Milpitas, California. During the plan year ended December 31, 2002, the Company decided to terminate the Plan as all participants were employees at the Milpitas facility. As a result, the Plan adopted the liquidation basis of accounting whereby assets are valued at fair market value and liabilities are stated at their settlement amount. Adoption of the liquidation basis of accounting had no effect on the valuation of the Plan's assets or liabilities.</w:t>
      </w:r>
    </w:p>
    <w:p>
      <w:pPr>
        <w:spacing w:after="0" w:line="180"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financial statements of the Plan as of and for the period ended December 31, 2002 have been prepared using the liquidation basis of accounting. The accompanying financial statements of the Plan as of and for the year ended December 31, 2001 have been prepared using the accrual basis of accounting in conformity with accounting principles generally accepted in the United States of America.</w:t>
      </w:r>
    </w:p>
    <w:p>
      <w:pPr>
        <w:spacing w:after="0" w:line="176"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2000, the Plan, a contributory defined contribution plan, was established by the Company. The following brief description of the Plan provides only general information. Participants should refer to the Plan document for a more complete description of Plan provisions, such as eligibility, vesting, allocation and funding.</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4"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regular domestic Union employees of the Company are eligible to participate in the Plan on the first day of the month immediately following their date of employment. Certain temporary domestic Union employees are eligible to participate on the January 1 or July 1 subsequent to completing one year of eligibility service and attaining age 21.</w:t>
      </w:r>
    </w:p>
    <w:p>
      <w:pPr>
        <w:spacing w:after="0" w:line="17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w:t>
      </w:r>
    </w:p>
    <w:p>
      <w:pPr>
        <w:spacing w:after="0" w:line="4" w:lineRule="exact"/>
        <w:rPr>
          <w:rFonts w:ascii="Courier New" w:cs="Courier New" w:eastAsia="Courier New" w:hAnsi="Courier New"/>
          <w:sz w:val="15"/>
          <w:szCs w:val="15"/>
          <w:color w:val="auto"/>
        </w:rPr>
      </w:pPr>
    </w:p>
    <w:p>
      <w:pPr>
        <w:ind w:left="808" w:right="33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provides for a participant to make pre-tax or after-tax contributions up to 75% of eligible wages, not to exceed the annual Internal Revenue Service (IRS) maximum deferral amount.</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CONTRIBUTIONS</w:t>
      </w:r>
    </w:p>
    <w:p>
      <w:pPr>
        <w:spacing w:after="0" w:line="4"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provides a base retirement contribution for all eligible employees. Generally, eligible employees receive an allocation equal to 2% of monthly compensation. The Company also matches participant contributions $0.50 on the dollar for the first 2% of participant contributions.</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VESTING</w:t>
      </w:r>
    </w:p>
    <w:p>
      <w:pPr>
        <w:spacing w:after="0" w:line="4"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are immediately vested in their contributions plus actual earnings thereon. Matching contributions made by the Company vest immediately. Until August 1, 2002, base contributions made by the Company vest after three years of service or upon attainment of age 65 prior to terminating employment. On August 1, 2002, active employees became immediately vested in base contributions.</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9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FORFEITURES</w:t>
      </w:r>
    </w:p>
    <w:p>
      <w:pPr>
        <w:spacing w:after="0" w:line="4" w:lineRule="exact"/>
        <w:rPr>
          <w:sz w:val="20"/>
          <w:szCs w:val="20"/>
          <w:color w:val="auto"/>
        </w:rPr>
      </w:pPr>
    </w:p>
    <w:p>
      <w:pPr>
        <w:jc w:val="both"/>
        <w:ind w:left="800" w:right="3019"/>
        <w:spacing w:after="0" w:line="244" w:lineRule="auto"/>
        <w:rPr>
          <w:sz w:val="20"/>
          <w:szCs w:val="20"/>
          <w:color w:val="auto"/>
        </w:rPr>
      </w:pPr>
      <w:r>
        <w:rPr>
          <w:rFonts w:ascii="Courier New" w:cs="Courier New" w:eastAsia="Courier New" w:hAnsi="Courier New"/>
          <w:sz w:val="15"/>
          <w:szCs w:val="15"/>
          <w:color w:val="auto"/>
        </w:rPr>
        <w:t>The nonvested portions of participant account balances are forfeitable and used to reduce employer contributions to the Plan. Plan forfeitures totaled $1,141 for the year ended December 31, 2002 and $3,883 for the year ended December 31, 2001.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INVESTMENTS</w:t>
      </w:r>
    </w:p>
    <w:p>
      <w:pPr>
        <w:spacing w:after="0" w:line="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All investments are participant-directed. Participants can change their investment options on a daily basis. The following investment options are available to participants:</w:t>
      </w:r>
    </w:p>
    <w:p>
      <w:pPr>
        <w:spacing w:after="0" w:line="175" w:lineRule="exact"/>
        <w:rPr>
          <w:sz w:val="20"/>
          <w:szCs w:val="20"/>
          <w:color w:val="auto"/>
        </w:rPr>
      </w:pPr>
    </w:p>
    <w:p>
      <w:pPr>
        <w:ind w:left="1260" w:right="309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PURITAN FUND--assets are invested in high-yielding U.S. and foreign securities, common and preferred stocks, and bonds of any maturity.</w:t>
      </w:r>
    </w:p>
    <w:p>
      <w:pPr>
        <w:spacing w:after="0" w:line="1" w:lineRule="exact"/>
        <w:rPr>
          <w:rFonts w:ascii="Courier New" w:cs="Courier New" w:eastAsia="Courier New" w:hAnsi="Courier New"/>
          <w:sz w:val="15"/>
          <w:szCs w:val="15"/>
          <w:color w:val="auto"/>
        </w:rPr>
      </w:pPr>
    </w:p>
    <w:p>
      <w:pPr>
        <w:ind w:left="1260" w:right="3379" w:hanging="456"/>
        <w:spacing w:after="0" w:line="262" w:lineRule="auto"/>
        <w:tabs>
          <w:tab w:leader="none" w:pos="1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CONTRAFUND--assets are primarily invested in U.S. and foreign common stocks that are believed to be undervalued.</w:t>
      </w:r>
    </w:p>
    <w:p>
      <w:pPr>
        <w:ind w:left="1260" w:right="319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BLUE CHIP FUND--assets are primarily invested in common stock of established and/or rapidly growing companies. Approximately 65% of this fund's total assets invest in common stock of blue chip companies.</w:t>
      </w:r>
    </w:p>
    <w:p>
      <w:pPr>
        <w:spacing w:after="0" w:line="2" w:lineRule="exact"/>
        <w:rPr>
          <w:rFonts w:ascii="Courier New" w:cs="Courier New" w:eastAsia="Courier New" w:hAnsi="Courier New"/>
          <w:sz w:val="15"/>
          <w:szCs w:val="15"/>
          <w:color w:val="auto"/>
        </w:rPr>
      </w:pPr>
    </w:p>
    <w:p>
      <w:pPr>
        <w:ind w:left="1260" w:right="3199" w:hanging="456"/>
        <w:spacing w:after="0" w:line="243"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WORLDWIDE FUND--assets are invested in stocks and other securities of companies located around the world.</w:t>
      </w:r>
    </w:p>
    <w:p>
      <w:pPr>
        <w:spacing w:after="0" w:line="2" w:lineRule="exact"/>
        <w:rPr>
          <w:rFonts w:ascii="Courier New" w:cs="Courier New" w:eastAsia="Courier New" w:hAnsi="Courier New"/>
          <w:sz w:val="15"/>
          <w:szCs w:val="15"/>
          <w:color w:val="auto"/>
        </w:rPr>
      </w:pPr>
    </w:p>
    <w:p>
      <w:pPr>
        <w:ind w:left="1260" w:right="327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INCOME FUND--assets are primarily invested in bond and money market funds. A smaller percentage of assets are invested in equity mutual funds.</w:t>
      </w:r>
    </w:p>
    <w:p>
      <w:pPr>
        <w:spacing w:after="0" w:line="1" w:lineRule="exact"/>
        <w:rPr>
          <w:rFonts w:ascii="Courier New" w:cs="Courier New" w:eastAsia="Courier New" w:hAnsi="Courier New"/>
          <w:sz w:val="15"/>
          <w:szCs w:val="15"/>
          <w:color w:val="auto"/>
        </w:rPr>
      </w:pPr>
    </w:p>
    <w:p>
      <w:pPr>
        <w:ind w:left="1260" w:right="309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2000 FUND--assets are invested in a combination of equity, fixed income and money market mutual funds of Fidelity Investments. Assets are allocated among these funds according to an asset allocation strategy which becomes more conservative over time.</w:t>
      </w:r>
    </w:p>
    <w:p>
      <w:pPr>
        <w:spacing w:after="0" w:line="3" w:lineRule="exact"/>
        <w:rPr>
          <w:rFonts w:ascii="Courier New" w:cs="Courier New" w:eastAsia="Courier New" w:hAnsi="Courier New"/>
          <w:sz w:val="15"/>
          <w:szCs w:val="15"/>
          <w:color w:val="auto"/>
        </w:rPr>
      </w:pPr>
    </w:p>
    <w:p>
      <w:pPr>
        <w:ind w:left="1260" w:right="309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2010 FUND--assets are invested in a combination of equity, fixed income and money market mutual funds of Fidelity Investments. The asset mix becomes more conservative as year 2010 approaches.</w:t>
      </w:r>
    </w:p>
    <w:p>
      <w:pPr>
        <w:spacing w:after="0" w:line="2" w:lineRule="exact"/>
        <w:rPr>
          <w:rFonts w:ascii="Courier New" w:cs="Courier New" w:eastAsia="Courier New" w:hAnsi="Courier New"/>
          <w:sz w:val="15"/>
          <w:szCs w:val="15"/>
          <w:color w:val="auto"/>
        </w:rPr>
      </w:pPr>
    </w:p>
    <w:p>
      <w:pPr>
        <w:ind w:left="1260" w:right="309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FREEDOM 2020 FUND--assets are invested in a combination of equity, fixed income and money market mutual funds of Fidelity Investments. The asset mix becomes more conservative as year 2020 approaches.</w:t>
      </w:r>
    </w:p>
    <w:p>
      <w:pPr>
        <w:spacing w:after="0" w:line="2" w:lineRule="exact"/>
        <w:rPr>
          <w:rFonts w:ascii="Courier New" w:cs="Courier New" w:eastAsia="Courier New" w:hAnsi="Courier New"/>
          <w:sz w:val="15"/>
          <w:szCs w:val="15"/>
          <w:color w:val="auto"/>
        </w:rPr>
      </w:pPr>
    </w:p>
    <w:p>
      <w:pPr>
        <w:jc w:val="both"/>
        <w:ind w:left="1260" w:right="3199" w:hanging="456"/>
        <w:spacing w:after="0" w:line="262" w:lineRule="auto"/>
        <w:tabs>
          <w:tab w:leader="none" w:pos="1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FREEDOM 2030 FUND--assets are invested in a combination of equity, fixed income and money market mutual funds. The asset mix becomes more conservative as year 2030 approaches.</w:t>
      </w:r>
    </w:p>
    <w:p>
      <w:pPr>
        <w:ind w:left="1260" w:right="337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3" w:lineRule="exact"/>
        <w:rPr>
          <w:rFonts w:ascii="Courier New" w:cs="Courier New" w:eastAsia="Courier New" w:hAnsi="Courier New"/>
          <w:sz w:val="15"/>
          <w:szCs w:val="15"/>
          <w:color w:val="auto"/>
        </w:rPr>
      </w:pPr>
    </w:p>
    <w:p>
      <w:pPr>
        <w:ind w:left="1260" w:right="301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SPARTAN U.S. EQUITY INDEX FUND--assets are invested in stocks and in approximately the same proportions as the Standard &amp; Poor's 500 Stock Index.</w:t>
      </w:r>
    </w:p>
    <w:p>
      <w:pPr>
        <w:spacing w:after="0" w:line="1" w:lineRule="exact"/>
        <w:rPr>
          <w:rFonts w:ascii="Courier New" w:cs="Courier New" w:eastAsia="Courier New" w:hAnsi="Courier New"/>
          <w:sz w:val="15"/>
          <w:szCs w:val="15"/>
          <w:color w:val="auto"/>
        </w:rPr>
      </w:pPr>
    </w:p>
    <w:p>
      <w:pPr>
        <w:ind w:left="1260" w:right="355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BARON ASSET FUND--assets are invested in stocks with prices perceived as low relative to the related companies' profits, assets, and other value measures.</w:t>
      </w:r>
    </w:p>
    <w:p>
      <w:pPr>
        <w:spacing w:after="0" w:line="1" w:lineRule="exact"/>
        <w:rPr>
          <w:rFonts w:ascii="Courier New" w:cs="Courier New" w:eastAsia="Courier New" w:hAnsi="Courier New"/>
          <w:sz w:val="15"/>
          <w:szCs w:val="15"/>
          <w:color w:val="auto"/>
        </w:rPr>
      </w:pPr>
    </w:p>
    <w:p>
      <w:pPr>
        <w:ind w:left="1260" w:right="3019" w:hanging="456"/>
        <w:spacing w:after="0" w:line="244"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3" w:lineRule="exact"/>
        <w:rPr>
          <w:rFonts w:ascii="Courier New" w:cs="Courier New" w:eastAsia="Courier New" w:hAnsi="Courier New"/>
          <w:sz w:val="15"/>
          <w:szCs w:val="15"/>
          <w:color w:val="auto"/>
        </w:rPr>
      </w:pPr>
    </w:p>
    <w:p>
      <w:pPr>
        <w:ind w:left="1260" w:right="3199" w:hanging="456"/>
        <w:spacing w:after="0" w:line="243" w:lineRule="auto"/>
        <w:tabs>
          <w:tab w:leader="none" w:pos="12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SHARES--assets consist entirely of The Scotts Company common shares and cash equivalents.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4" w:right="1440" w:bottom="1440" w:gutter="0" w:footer="0" w:header="0"/>
        </w:sectPr>
      </w:pPr>
    </w:p>
    <w:bookmarkStart w:id="9" w:name="page10"/>
    <w:bookmarkEnd w:id="9"/>
    <w:p>
      <w:pPr>
        <w:ind w:left="8"/>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BENEFIT PAYMENTS</w:t>
      </w:r>
    </w:p>
    <w:p>
      <w:pPr>
        <w:spacing w:after="0" w:line="4" w:lineRule="exact"/>
        <w:rPr>
          <w:sz w:val="20"/>
          <w:szCs w:val="20"/>
          <w:color w:val="auto"/>
        </w:rPr>
      </w:pPr>
    </w:p>
    <w:p>
      <w:pPr>
        <w:ind w:left="808" w:right="3019"/>
        <w:spacing w:after="0" w:line="244" w:lineRule="auto"/>
        <w:rPr>
          <w:sz w:val="20"/>
          <w:szCs w:val="20"/>
          <w:color w:val="auto"/>
        </w:rPr>
      </w:pPr>
      <w:r>
        <w:rPr>
          <w:rFonts w:ascii="Courier New" w:cs="Courier New" w:eastAsia="Courier New" w:hAnsi="Courier New"/>
          <w:sz w:val="15"/>
          <w:szCs w:val="15"/>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PARTICIPANT LOANS</w:t>
      </w:r>
    </w:p>
    <w:p>
      <w:pPr>
        <w:spacing w:after="0" w:line="4" w:lineRule="exact"/>
        <w:rPr>
          <w:sz w:val="20"/>
          <w:szCs w:val="20"/>
          <w:color w:val="auto"/>
        </w:rPr>
      </w:pPr>
    </w:p>
    <w:p>
      <w:pPr>
        <w:ind w:left="808" w:right="3459"/>
        <w:spacing w:after="0" w:line="243" w:lineRule="auto"/>
        <w:rPr>
          <w:sz w:val="20"/>
          <w:szCs w:val="20"/>
          <w:color w:val="auto"/>
        </w:rPr>
      </w:pPr>
      <w:r>
        <w:rPr>
          <w:rFonts w:ascii="Courier New" w:cs="Courier New" w:eastAsia="Courier New" w:hAnsi="Courier New"/>
          <w:sz w:val="15"/>
          <w:szCs w:val="15"/>
          <w:color w:val="auto"/>
        </w:rPr>
        <w:t>Loans are available to participants from their individual accounts subject to the terms of the Plan.</w:t>
      </w:r>
    </w:p>
    <w:p>
      <w:pPr>
        <w:spacing w:after="0" w:line="175" w:lineRule="exact"/>
        <w:rPr>
          <w:sz w:val="20"/>
          <w:szCs w:val="20"/>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4"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participant loans, investments are stated at quoted market prices. Participants' loans are valued at cost, which approximates fair value.</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EXPENSES</w:t>
      </w:r>
    </w:p>
    <w:p>
      <w:pPr>
        <w:spacing w:after="0" w:line="4" w:lineRule="exact"/>
        <w:rPr>
          <w:rFonts w:ascii="Courier New" w:cs="Courier New" w:eastAsia="Courier New" w:hAnsi="Courier New"/>
          <w:sz w:val="15"/>
          <w:szCs w:val="15"/>
          <w:color w:val="auto"/>
        </w:rPr>
      </w:pPr>
    </w:p>
    <w:p>
      <w:pPr>
        <w:ind w:left="808"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pays for all administrative fees except those that are participant specific, such as loan establishment and maintenance fees.</w:t>
      </w:r>
    </w:p>
    <w:p>
      <w:pPr>
        <w:spacing w:after="0" w:line="175"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BENEFITS Benefits are recorded when paid.</w:t>
      </w:r>
    </w:p>
    <w:p>
      <w:pPr>
        <w:spacing w:after="0" w:line="176"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4"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77"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w:t>
      </w:r>
    </w:p>
    <w:p>
      <w:pPr>
        <w:spacing w:after="0" w:line="4"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balances in the December 31, 2001 statements have been reclassified to conform with the December 31, 2002 presentation. These changes had no impact on previously reported results of operations.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RISKS AND UNCERTAINTIES</w:t>
      </w:r>
    </w:p>
    <w:p>
      <w:pPr>
        <w:spacing w:after="0" w:line="4"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in liquidation available for benefits.</w:t>
      </w:r>
    </w:p>
    <w:p>
      <w:pPr>
        <w:spacing w:after="0" w:line="17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TRUST</w:t>
      </w:r>
    </w:p>
    <w:p>
      <w:pPr>
        <w:spacing w:after="0" w:line="177" w:lineRule="exact"/>
        <w:rPr>
          <w:rFonts w:ascii="Courier New" w:cs="Courier New" w:eastAsia="Courier New" w:hAnsi="Courier New"/>
          <w:sz w:val="15"/>
          <w:szCs w:val="15"/>
          <w:color w:val="auto"/>
        </w:rPr>
      </w:pPr>
    </w:p>
    <w:p>
      <w:pPr>
        <w:ind w:left="80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2000, a master trust was established to invest certain assets of the Plan and certain assets of the Company's other defined contribution plan The Scotts Company Retirement Savings Plan. Each plan's accounting is maintained separately; the respective plan's value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00" w:right="4320"/>
        <w:spacing w:after="0" w:line="244" w:lineRule="auto"/>
        <w:rPr>
          <w:sz w:val="20"/>
          <w:szCs w:val="20"/>
          <w:color w:val="auto"/>
        </w:rPr>
      </w:pPr>
      <w:r>
        <w:rPr>
          <w:rFonts w:ascii="Courier New" w:cs="Courier New" w:eastAsia="Courier New" w:hAnsi="Courier New"/>
          <w:sz w:val="15"/>
          <w:szCs w:val="15"/>
          <w:color w:val="auto"/>
        </w:rPr>
        <w:t>percentage of the master trust. Plan activities, such as contributions and benefit payments, are recorded in the individual plan's accounting records. Net earnings of the master trust are allocated between the plans based on a weighted average of assets related to each plan. Total net earnings for the master trust for the year ended December 31, 2002 and 2001 are as follows:</w:t>
      </w:r>
    </w:p>
    <w:p>
      <w:pPr>
        <w:sectPr>
          <w:pgSz w:w="11900" w:h="16838" w:orient="portrait"/>
          <w:cols w:equalWidth="0" w:num="1">
            <w:col w:w="11520"/>
          </w:cols>
          <w:pgMar w:left="240" w:top="464" w:right="13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NET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APPRECIATION</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(DEPRECIATION)</w:t>
      </w:r>
    </w:p>
    <w:p>
      <w:pPr>
        <w:spacing w:after="0" w:line="3" w:lineRule="exact"/>
        <w:rPr>
          <w:sz w:val="20"/>
          <w:szCs w:val="20"/>
          <w:color w:val="auto"/>
        </w:rPr>
      </w:pPr>
    </w:p>
    <w:p>
      <w:pPr>
        <w:ind w:left="80"/>
        <w:spacing w:after="0"/>
        <w:tabs>
          <w:tab w:leader="none" w:pos="1680" w:val="left"/>
          <w:tab w:leader="none" w:pos="3400" w:val="left"/>
        </w:tabs>
        <w:rPr>
          <w:sz w:val="20"/>
          <w:szCs w:val="20"/>
          <w:color w:val="auto"/>
        </w:rPr>
      </w:pPr>
      <w:r>
        <w:rPr>
          <w:rFonts w:ascii="Courier New" w:cs="Courier New" w:eastAsia="Courier New" w:hAnsi="Courier New"/>
          <w:sz w:val="15"/>
          <w:szCs w:val="15"/>
          <w:color w:val="auto"/>
        </w:rPr>
        <w:t>INTEREST AND</w:t>
      </w:r>
      <w:r>
        <w:rPr>
          <w:sz w:val="20"/>
          <w:szCs w:val="20"/>
          <w:color w:val="auto"/>
        </w:rPr>
        <w:tab/>
      </w:r>
      <w:r>
        <w:rPr>
          <w:rFonts w:ascii="Courier New" w:cs="Courier New" w:eastAsia="Courier New" w:hAnsi="Courier New"/>
          <w:sz w:val="15"/>
          <w:szCs w:val="15"/>
          <w:color w:val="auto"/>
        </w:rPr>
        <w:t>IN FAIR VALUE</w:t>
      </w:r>
      <w:r>
        <w:rPr>
          <w:sz w:val="20"/>
          <w:szCs w:val="20"/>
          <w:color w:val="auto"/>
        </w:rPr>
        <w:tab/>
      </w:r>
      <w:r>
        <w:rPr>
          <w:rFonts w:ascii="Courier New" w:cs="Courier New" w:eastAsia="Courier New" w:hAnsi="Courier New"/>
          <w:sz w:val="15"/>
          <w:szCs w:val="15"/>
          <w:color w:val="auto"/>
        </w:rPr>
        <w:t>ADMINISTRATION</w:t>
      </w:r>
    </w:p>
    <w:p>
      <w:pPr>
        <w:spacing w:after="0" w:line="3" w:lineRule="exact"/>
        <w:rPr>
          <w:sz w:val="20"/>
          <w:szCs w:val="20"/>
          <w:color w:val="auto"/>
        </w:rPr>
      </w:pPr>
    </w:p>
    <w:p>
      <w:pPr>
        <w:ind w:left="260"/>
        <w:spacing w:after="0"/>
        <w:tabs>
          <w:tab w:leader="none" w:pos="1680" w:val="left"/>
          <w:tab w:leader="none" w:pos="3660" w:val="left"/>
          <w:tab w:leader="none" w:pos="548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OF SECURITIES</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Mutual funds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Common trust fund</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Scotts Company Common Shares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440"/>
        <w:spacing w:after="0"/>
        <w:tabs>
          <w:tab w:leader="none" w:pos="1960" w:val="left"/>
          <w:tab w:leader="none" w:pos="3840" w:val="left"/>
          <w:tab w:leader="none" w:pos="4200" w:val="left"/>
          <w:tab w:leader="none" w:pos="5380" w:val="left"/>
        </w:tabs>
        <w:rPr>
          <w:sz w:val="20"/>
          <w:szCs w:val="20"/>
          <w:color w:val="auto"/>
        </w:rPr>
      </w:pPr>
      <w:r>
        <w:rPr>
          <w:rFonts w:ascii="Courier New" w:cs="Courier New" w:eastAsia="Courier New" w:hAnsi="Courier New"/>
          <w:sz w:val="15"/>
          <w:szCs w:val="15"/>
          <w:color w:val="auto"/>
        </w:rPr>
        <w:t>$1,757,539</w:t>
      </w:r>
      <w:r>
        <w:rPr>
          <w:sz w:val="20"/>
          <w:szCs w:val="20"/>
          <w:color w:val="auto"/>
        </w:rPr>
        <w:tab/>
      </w:r>
      <w:r>
        <w:rPr>
          <w:rFonts w:ascii="Courier New" w:cs="Courier New" w:eastAsia="Courier New" w:hAnsi="Courier New"/>
          <w:sz w:val="15"/>
          <w:szCs w:val="15"/>
          <w:color w:val="auto"/>
        </w:rPr>
        <w:t>$ (19,955,817)</w:t>
      </w:r>
      <w:r>
        <w:rPr>
          <w:sz w:val="20"/>
          <w:szCs w:val="20"/>
          <w:color w:val="auto"/>
        </w:rPr>
        <w:tab/>
      </w:r>
      <w:r>
        <w:rPr>
          <w:rFonts w:ascii="Courier New" w:cs="Courier New" w:eastAsia="Courier New" w:hAnsi="Courier New"/>
          <w:sz w:val="15"/>
          <w:szCs w:val="15"/>
          <w:color w:val="auto"/>
        </w:rPr>
        <w:t>$</w:t>
        <w:tab/>
        <w:t>(15,319)</w:t>
      </w:r>
      <w:r>
        <w:rPr>
          <w:sz w:val="20"/>
          <w:szCs w:val="20"/>
          <w:color w:val="auto"/>
        </w:rPr>
        <w:tab/>
      </w:r>
      <w:r>
        <w:rPr>
          <w:rFonts w:ascii="Courier New" w:cs="Courier New" w:eastAsia="Courier New" w:hAnsi="Courier New"/>
          <w:sz w:val="14"/>
          <w:szCs w:val="14"/>
          <w:color w:val="auto"/>
        </w:rPr>
        <w:t>$(18,213,597)</w:t>
      </w:r>
    </w:p>
    <w:p>
      <w:pPr>
        <w:spacing w:after="0" w:line="3" w:lineRule="exact"/>
        <w:rPr>
          <w:sz w:val="20"/>
          <w:szCs w:val="20"/>
          <w:color w:val="auto"/>
        </w:rPr>
      </w:pPr>
    </w:p>
    <w:p>
      <w:pPr>
        <w:ind w:left="720"/>
        <w:spacing w:after="0"/>
        <w:tabs>
          <w:tab w:leader="none" w:pos="3040" w:val="left"/>
          <w:tab w:leader="none" w:pos="4300" w:val="left"/>
          <w:tab w:leader="none" w:pos="5380" w:val="left"/>
          <w:tab w:leader="none" w:pos="5840" w:val="left"/>
        </w:tabs>
        <w:rPr>
          <w:sz w:val="20"/>
          <w:szCs w:val="20"/>
          <w:color w:val="auto"/>
        </w:rPr>
      </w:pPr>
      <w:r>
        <w:rPr>
          <w:rFonts w:ascii="Courier New" w:cs="Courier New" w:eastAsia="Courier New" w:hAnsi="Courier New"/>
          <w:sz w:val="15"/>
          <w:szCs w:val="15"/>
          <w:color w:val="auto"/>
        </w:rPr>
        <w:t>895,172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(4,684)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890,488</w:t>
      </w:r>
    </w:p>
    <w:p>
      <w:pPr>
        <w:spacing w:after="0" w:line="3" w:lineRule="exact"/>
        <w:rPr>
          <w:sz w:val="20"/>
          <w:szCs w:val="20"/>
          <w:color w:val="auto"/>
        </w:rPr>
      </w:pPr>
    </w:p>
    <w:p>
      <w:pPr>
        <w:ind w:left="1260"/>
        <w:spacing w:after="0"/>
        <w:tabs>
          <w:tab w:leader="none" w:pos="2500" w:val="left"/>
          <w:tab w:leader="none" w:pos="4300" w:val="left"/>
          <w:tab w:leader="none" w:pos="5380" w:val="left"/>
          <w:tab w:leader="none" w:pos="5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636,447</w:t>
      </w:r>
      <w:r>
        <w:rPr>
          <w:sz w:val="20"/>
          <w:szCs w:val="20"/>
          <w:color w:val="auto"/>
        </w:rPr>
        <w:tab/>
      </w:r>
      <w:r>
        <w:rPr>
          <w:rFonts w:ascii="Courier New" w:cs="Courier New" w:eastAsia="Courier New" w:hAnsi="Courier New"/>
          <w:sz w:val="15"/>
          <w:szCs w:val="15"/>
          <w:color w:val="auto"/>
        </w:rPr>
        <w:t>(1,626)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634,821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7"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ind w:left="116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both"/>
        <w:ind w:firstLine="451"/>
        <w:spacing w:after="0" w:line="278" w:lineRule="auto"/>
        <w:rPr>
          <w:sz w:val="20"/>
          <w:szCs w:val="20"/>
          <w:color w:val="auto"/>
        </w:rPr>
      </w:pPr>
      <w:r>
        <w:rPr>
          <w:rFonts w:ascii="Courier New" w:cs="Courier New" w:eastAsia="Courier New" w:hAnsi="Courier New"/>
          <w:sz w:val="14"/>
          <w:szCs w:val="14"/>
          <w:color w:val="auto"/>
        </w:rPr>
        <w:t>$2,652,711 $ (19,319,370) $ (21,629) $(16,688,288) ==================================== ====================================</w:t>
      </w:r>
    </w:p>
    <w:p>
      <w:pPr>
        <w:spacing w:after="0" w:line="200"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2001</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NET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APPRECIATION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(DEPRECIATION)</w:t>
      </w:r>
    </w:p>
    <w:p>
      <w:pPr>
        <w:spacing w:after="0" w:line="3" w:lineRule="exact"/>
        <w:rPr>
          <w:sz w:val="20"/>
          <w:szCs w:val="20"/>
          <w:color w:val="auto"/>
        </w:rPr>
      </w:pPr>
    </w:p>
    <w:p>
      <w:pPr>
        <w:ind w:left="80"/>
        <w:spacing w:after="0"/>
        <w:tabs>
          <w:tab w:leader="none" w:pos="1680" w:val="left"/>
          <w:tab w:leader="none" w:pos="3400" w:val="left"/>
        </w:tabs>
        <w:rPr>
          <w:sz w:val="20"/>
          <w:szCs w:val="20"/>
          <w:color w:val="auto"/>
        </w:rPr>
      </w:pPr>
      <w:r>
        <w:rPr>
          <w:rFonts w:ascii="Courier New" w:cs="Courier New" w:eastAsia="Courier New" w:hAnsi="Courier New"/>
          <w:sz w:val="15"/>
          <w:szCs w:val="15"/>
          <w:color w:val="auto"/>
        </w:rPr>
        <w:t>INTEREST AND</w:t>
      </w:r>
      <w:r>
        <w:rPr>
          <w:sz w:val="20"/>
          <w:szCs w:val="20"/>
          <w:color w:val="auto"/>
        </w:rPr>
        <w:tab/>
      </w:r>
      <w:r>
        <w:rPr>
          <w:rFonts w:ascii="Courier New" w:cs="Courier New" w:eastAsia="Courier New" w:hAnsi="Courier New"/>
          <w:sz w:val="15"/>
          <w:szCs w:val="15"/>
          <w:color w:val="auto"/>
        </w:rPr>
        <w:t>IN FAIR VALUE</w:t>
      </w:r>
      <w:r>
        <w:rPr>
          <w:sz w:val="20"/>
          <w:szCs w:val="20"/>
          <w:color w:val="auto"/>
        </w:rPr>
        <w:tab/>
      </w:r>
      <w:r>
        <w:rPr>
          <w:rFonts w:ascii="Courier New" w:cs="Courier New" w:eastAsia="Courier New" w:hAnsi="Courier New"/>
          <w:sz w:val="15"/>
          <w:szCs w:val="15"/>
          <w:color w:val="auto"/>
        </w:rPr>
        <w:t>ADMINISTRATION</w:t>
      </w:r>
    </w:p>
    <w:p>
      <w:pPr>
        <w:spacing w:after="0" w:line="3" w:lineRule="exact"/>
        <w:rPr>
          <w:sz w:val="20"/>
          <w:szCs w:val="20"/>
          <w:color w:val="auto"/>
        </w:rPr>
      </w:pPr>
    </w:p>
    <w:p>
      <w:pPr>
        <w:ind w:left="260"/>
        <w:spacing w:after="0"/>
        <w:tabs>
          <w:tab w:leader="none" w:pos="1680" w:val="left"/>
          <w:tab w:leader="none" w:pos="3660" w:val="left"/>
          <w:tab w:leader="none" w:pos="548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OF SECURITIES</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Mutual funds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Common trust fund</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Scotts Company Common Shares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440"/>
        <w:spacing w:after="0"/>
        <w:tabs>
          <w:tab w:leader="none" w:pos="1960" w:val="left"/>
          <w:tab w:leader="none" w:pos="3840" w:val="left"/>
          <w:tab w:leader="none" w:pos="4200" w:val="left"/>
          <w:tab w:leader="none" w:pos="5380" w:val="left"/>
        </w:tabs>
        <w:rPr>
          <w:sz w:val="20"/>
          <w:szCs w:val="20"/>
          <w:color w:val="auto"/>
        </w:rPr>
      </w:pPr>
      <w:r>
        <w:rPr>
          <w:rFonts w:ascii="Courier New" w:cs="Courier New" w:eastAsia="Courier New" w:hAnsi="Courier New"/>
          <w:sz w:val="15"/>
          <w:szCs w:val="15"/>
          <w:color w:val="auto"/>
        </w:rPr>
        <w:t>$3,201,181</w:t>
      </w:r>
      <w:r>
        <w:rPr>
          <w:sz w:val="20"/>
          <w:szCs w:val="20"/>
          <w:color w:val="auto"/>
        </w:rPr>
        <w:tab/>
      </w:r>
      <w:r>
        <w:rPr>
          <w:rFonts w:ascii="Courier New" w:cs="Courier New" w:eastAsia="Courier New" w:hAnsi="Courier New"/>
          <w:sz w:val="15"/>
          <w:szCs w:val="15"/>
          <w:color w:val="auto"/>
        </w:rPr>
        <w:t>$ (15,290,778)</w:t>
      </w:r>
      <w:r>
        <w:rPr>
          <w:sz w:val="20"/>
          <w:szCs w:val="20"/>
          <w:color w:val="auto"/>
        </w:rPr>
        <w:tab/>
      </w:r>
      <w:r>
        <w:rPr>
          <w:rFonts w:ascii="Courier New" w:cs="Courier New" w:eastAsia="Courier New" w:hAnsi="Courier New"/>
          <w:sz w:val="15"/>
          <w:szCs w:val="15"/>
          <w:color w:val="auto"/>
        </w:rPr>
        <w:t>$</w:t>
        <w:tab/>
        <w:t>(14,345)</w:t>
      </w:r>
      <w:r>
        <w:rPr>
          <w:sz w:val="20"/>
          <w:szCs w:val="20"/>
          <w:color w:val="auto"/>
        </w:rPr>
        <w:tab/>
      </w:r>
      <w:r>
        <w:rPr>
          <w:rFonts w:ascii="Courier New" w:cs="Courier New" w:eastAsia="Courier New" w:hAnsi="Courier New"/>
          <w:sz w:val="14"/>
          <w:szCs w:val="14"/>
          <w:color w:val="auto"/>
        </w:rPr>
        <w:t>$(12,103,942)</w:t>
      </w:r>
    </w:p>
    <w:p>
      <w:pPr>
        <w:spacing w:after="0" w:line="3" w:lineRule="exact"/>
        <w:rPr>
          <w:sz w:val="20"/>
          <w:szCs w:val="20"/>
          <w:color w:val="auto"/>
        </w:rPr>
      </w:pPr>
    </w:p>
    <w:p>
      <w:pPr>
        <w:ind w:left="720"/>
        <w:spacing w:after="0"/>
        <w:tabs>
          <w:tab w:leader="none" w:pos="3040" w:val="left"/>
          <w:tab w:leader="none" w:pos="4300" w:val="left"/>
          <w:tab w:leader="none" w:pos="5840" w:val="left"/>
        </w:tabs>
        <w:rPr>
          <w:sz w:val="20"/>
          <w:szCs w:val="20"/>
          <w:color w:val="auto"/>
        </w:rPr>
      </w:pPr>
      <w:r>
        <w:rPr>
          <w:rFonts w:ascii="Courier New" w:cs="Courier New" w:eastAsia="Courier New" w:hAnsi="Courier New"/>
          <w:sz w:val="15"/>
          <w:szCs w:val="15"/>
          <w:color w:val="auto"/>
        </w:rPr>
        <w:t>858,935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(3,431)</w:t>
      </w:r>
      <w:r>
        <w:rPr>
          <w:sz w:val="20"/>
          <w:szCs w:val="20"/>
          <w:color w:val="auto"/>
        </w:rPr>
        <w:tab/>
      </w:r>
      <w:r>
        <w:rPr>
          <w:rFonts w:ascii="Courier New" w:cs="Courier New" w:eastAsia="Courier New" w:hAnsi="Courier New"/>
          <w:sz w:val="14"/>
          <w:szCs w:val="14"/>
          <w:color w:val="auto"/>
        </w:rPr>
        <w:t>855,504</w:t>
      </w:r>
    </w:p>
    <w:p>
      <w:pPr>
        <w:spacing w:after="0" w:line="3" w:lineRule="exact"/>
        <w:rPr>
          <w:sz w:val="20"/>
          <w:szCs w:val="20"/>
          <w:color w:val="auto"/>
        </w:rPr>
      </w:pPr>
    </w:p>
    <w:p>
      <w:pPr>
        <w:ind w:left="800"/>
        <w:spacing w:after="0"/>
        <w:tabs>
          <w:tab w:leader="none" w:pos="2320" w:val="left"/>
          <w:tab w:leader="none" w:pos="4300" w:val="left"/>
          <w:tab w:leader="none" w:pos="5660" w:val="left"/>
        </w:tabs>
        <w:rPr>
          <w:sz w:val="20"/>
          <w:szCs w:val="20"/>
          <w:color w:val="auto"/>
        </w:rPr>
      </w:pPr>
      <w:r>
        <w:rPr>
          <w:rFonts w:ascii="Courier New" w:cs="Courier New" w:eastAsia="Courier New" w:hAnsi="Courier New"/>
          <w:sz w:val="15"/>
          <w:szCs w:val="15"/>
          <w:color w:val="auto"/>
        </w:rPr>
        <w:t>23,687</w:t>
      </w:r>
      <w:r>
        <w:rPr>
          <w:sz w:val="20"/>
          <w:szCs w:val="20"/>
          <w:color w:val="auto"/>
        </w:rPr>
        <w:tab/>
      </w:r>
      <w:r>
        <w:rPr>
          <w:rFonts w:ascii="Courier New" w:cs="Courier New" w:eastAsia="Courier New" w:hAnsi="Courier New"/>
          <w:sz w:val="15"/>
          <w:szCs w:val="15"/>
          <w:color w:val="auto"/>
        </w:rPr>
        <w:t>2,054,105</w:t>
      </w:r>
      <w:r>
        <w:rPr>
          <w:sz w:val="20"/>
          <w:szCs w:val="20"/>
          <w:color w:val="auto"/>
        </w:rPr>
        <w:tab/>
      </w:r>
      <w:r>
        <w:rPr>
          <w:rFonts w:ascii="Courier New" w:cs="Courier New" w:eastAsia="Courier New" w:hAnsi="Courier New"/>
          <w:sz w:val="15"/>
          <w:szCs w:val="15"/>
          <w:color w:val="auto"/>
        </w:rPr>
        <w:t>(1,750)</w:t>
      </w:r>
      <w:r>
        <w:rPr>
          <w:sz w:val="20"/>
          <w:szCs w:val="20"/>
          <w:color w:val="auto"/>
        </w:rPr>
        <w:tab/>
      </w:r>
      <w:r>
        <w:rPr>
          <w:rFonts w:ascii="Courier New" w:cs="Courier New" w:eastAsia="Courier New" w:hAnsi="Courier New"/>
          <w:sz w:val="14"/>
          <w:szCs w:val="14"/>
          <w:color w:val="auto"/>
        </w:rPr>
        <w:t>2,076,042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7"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ind w:left="116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both"/>
        <w:ind w:firstLine="451"/>
        <w:spacing w:after="0" w:line="243" w:lineRule="auto"/>
        <w:rPr>
          <w:sz w:val="20"/>
          <w:szCs w:val="20"/>
          <w:color w:val="auto"/>
        </w:rPr>
      </w:pPr>
      <w:r>
        <w:rPr>
          <w:rFonts w:ascii="Courier New" w:cs="Courier New" w:eastAsia="Courier New" w:hAnsi="Courier New"/>
          <w:sz w:val="15"/>
          <w:szCs w:val="15"/>
          <w:color w:val="auto"/>
        </w:rPr>
        <w:t>$4,083,803 $ (13,236,673) $ (19,526) $ (9,172,396) ------------------------------------ ------------------ -----------------</w:t>
      </w:r>
    </w:p>
    <w:p>
      <w:pPr>
        <w:spacing w:after="0" w:line="200" w:lineRule="exact"/>
        <w:rPr>
          <w:sz w:val="20"/>
          <w:szCs w:val="20"/>
          <w:color w:val="auto"/>
        </w:rPr>
      </w:pPr>
    </w:p>
    <w:p>
      <w:pPr>
        <w:sectPr>
          <w:pgSz w:w="11900" w:h="16838" w:orient="portrait"/>
          <w:cols w:equalWidth="0" w:num="2">
            <w:col w:w="4240" w:space="720"/>
            <w:col w:w="6560"/>
          </w:cols>
          <w:pgMar w:left="240" w:top="464" w:right="139" w:bottom="2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0" w:right="4680"/>
        <w:spacing w:after="0" w:line="243" w:lineRule="auto"/>
        <w:rPr>
          <w:sz w:val="20"/>
          <w:szCs w:val="20"/>
          <w:color w:val="auto"/>
        </w:rPr>
      </w:pPr>
      <w:r>
        <w:rPr>
          <w:rFonts w:ascii="Courier New" w:cs="Courier New" w:eastAsia="Courier New" w:hAnsi="Courier New"/>
          <w:sz w:val="15"/>
          <w:szCs w:val="15"/>
          <w:color w:val="auto"/>
        </w:rPr>
        <w:t>Total assets held in the master trust at December 31, 2002 and 2001 were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52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517,001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486,922</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Mutual funds, at fair value</w:t>
            </w:r>
          </w:p>
        </w:tc>
        <w:tc>
          <w:tcPr>
            <w:tcW w:w="104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94,709,701</w:t>
            </w:r>
          </w:p>
        </w:tc>
        <w:tc>
          <w:tcPr>
            <w:tcW w:w="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112,359,577</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Common trust fund, at fair value</w:t>
            </w:r>
          </w:p>
        </w:tc>
        <w:tc>
          <w:tcPr>
            <w:tcW w:w="104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21,081,383</w:t>
            </w:r>
          </w:p>
        </w:tc>
        <w:tc>
          <w:tcPr>
            <w:tcW w:w="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15,190,528</w:t>
            </w: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The Scotts Company Common Shares, at fair value</w:t>
            </w:r>
          </w:p>
        </w:tc>
        <w:tc>
          <w:tcPr>
            <w:tcW w:w="104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7,015,025</w:t>
            </w:r>
          </w:p>
        </w:tc>
        <w:tc>
          <w:tcPr>
            <w:tcW w:w="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6,786,189</w:t>
            </w:r>
          </w:p>
        </w:tc>
      </w:tr>
      <w:tr>
        <w:trPr>
          <w:trHeight w:val="173"/>
        </w:trPr>
        <w:tc>
          <w:tcPr>
            <w:tcW w:w="5140" w:type="dxa"/>
            <w:vAlign w:val="bottom"/>
          </w:tcPr>
          <w:p>
            <w:pPr>
              <w:spacing w:after="0"/>
              <w:rPr>
                <w:sz w:val="15"/>
                <w:szCs w:val="15"/>
                <w:color w:val="auto"/>
              </w:rPr>
            </w:pPr>
          </w:p>
        </w:tc>
        <w:tc>
          <w:tcPr>
            <w:tcW w:w="2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ind w:left="540"/>
              <w:spacing w:after="0"/>
              <w:rPr>
                <w:sz w:val="20"/>
                <w:szCs w:val="20"/>
                <w:color w:val="auto"/>
              </w:rPr>
            </w:pPr>
            <w:r>
              <w:rPr>
                <w:rFonts w:ascii="Courier New" w:cs="Courier New" w:eastAsia="Courier New" w:hAnsi="Courier New"/>
                <w:sz w:val="15"/>
                <w:szCs w:val="15"/>
                <w:color w:val="auto"/>
              </w:rPr>
              <w:t>Total investments</w:t>
            </w:r>
          </w:p>
        </w:tc>
        <w:tc>
          <w:tcPr>
            <w:tcW w:w="104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122,806,109</w:t>
            </w:r>
          </w:p>
        </w:tc>
        <w:tc>
          <w:tcPr>
            <w:tcW w:w="58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134,336,294</w:t>
            </w:r>
          </w:p>
        </w:tc>
      </w:tr>
      <w:tr>
        <w:trPr>
          <w:trHeight w:val="173"/>
        </w:trPr>
        <w:tc>
          <w:tcPr>
            <w:tcW w:w="5140" w:type="dxa"/>
            <w:vAlign w:val="bottom"/>
          </w:tcPr>
          <w:p>
            <w:pPr>
              <w:spacing w:after="0"/>
              <w:rPr>
                <w:sz w:val="15"/>
                <w:szCs w:val="15"/>
                <w:color w:val="auto"/>
              </w:rPr>
            </w:pPr>
          </w:p>
        </w:tc>
        <w:tc>
          <w:tcPr>
            <w:tcW w:w="2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Receivable from broker</w:t>
            </w:r>
          </w:p>
        </w:tc>
        <w:tc>
          <w:tcPr>
            <w:tcW w:w="104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303,773</w:t>
            </w:r>
          </w:p>
        </w:tc>
        <w:tc>
          <w:tcPr>
            <w:tcW w:w="58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04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(236,220)</w:t>
            </w:r>
          </w:p>
        </w:tc>
        <w:tc>
          <w:tcPr>
            <w:tcW w:w="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ind w:left="540"/>
              <w:spacing w:after="0"/>
              <w:rPr>
                <w:sz w:val="20"/>
                <w:szCs w:val="20"/>
                <w:color w:val="auto"/>
              </w:rPr>
            </w:pPr>
            <w:r>
              <w:rPr>
                <w:rFonts w:ascii="Courier New" w:cs="Courier New" w:eastAsia="Courier New" w:hAnsi="Courier New"/>
                <w:sz w:val="15"/>
                <w:szCs w:val="15"/>
                <w:color w:val="auto"/>
              </w:rPr>
              <w:t>Total master trust net assets</w:t>
            </w:r>
          </w:p>
        </w:tc>
        <w:tc>
          <w:tcPr>
            <w:tcW w:w="2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$ 123,390,663</w:t>
            </w: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$ 134,824,292</w:t>
            </w:r>
          </w:p>
        </w:tc>
      </w:tr>
      <w:tr>
        <w:trPr>
          <w:trHeight w:val="173"/>
        </w:trPr>
        <w:tc>
          <w:tcPr>
            <w:tcW w:w="5140" w:type="dxa"/>
            <w:vAlign w:val="bottom"/>
          </w:tcPr>
          <w:p>
            <w:pPr>
              <w:spacing w:after="0"/>
              <w:rPr>
                <w:sz w:val="15"/>
                <w:szCs w:val="15"/>
                <w:color w:val="auto"/>
              </w:rPr>
            </w:pPr>
          </w:p>
        </w:tc>
        <w:tc>
          <w:tcPr>
            <w:tcW w:w="2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The Scotts Company Union Retirement Savings Plan</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5140" w:type="dxa"/>
            <w:vAlign w:val="bottom"/>
          </w:tcPr>
          <w:p>
            <w:pPr>
              <w:ind w:left="360"/>
              <w:spacing w:after="0"/>
              <w:rPr>
                <w:sz w:val="20"/>
                <w:szCs w:val="20"/>
                <w:color w:val="auto"/>
              </w:rPr>
            </w:pPr>
            <w:r>
              <w:rPr>
                <w:rFonts w:ascii="Courier New" w:cs="Courier New" w:eastAsia="Courier New" w:hAnsi="Courier New"/>
                <w:sz w:val="15"/>
                <w:szCs w:val="15"/>
                <w:color w:val="auto"/>
              </w:rPr>
              <w:t>interest in master trust net assets</w:t>
            </w:r>
          </w:p>
        </w:tc>
        <w:tc>
          <w:tcPr>
            <w:tcW w:w="104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0.100%</w:t>
            </w:r>
          </w:p>
        </w:tc>
        <w:tc>
          <w:tcPr>
            <w:tcW w:w="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0.123%</w:t>
            </w:r>
          </w:p>
        </w:tc>
      </w:tr>
      <w:tr>
        <w:trPr>
          <w:trHeight w:val="173"/>
        </w:trPr>
        <w:tc>
          <w:tcPr>
            <w:tcW w:w="5140" w:type="dxa"/>
            <w:vAlign w:val="bottom"/>
          </w:tcPr>
          <w:p>
            <w:pPr>
              <w:spacing w:after="0"/>
              <w:rPr>
                <w:sz w:val="15"/>
                <w:szCs w:val="15"/>
                <w:color w:val="auto"/>
              </w:rPr>
            </w:pPr>
          </w:p>
        </w:tc>
        <w:tc>
          <w:tcPr>
            <w:tcW w:w="2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Accounting policies discussed in Note 3 also apply to the master trust.</w:t>
      </w:r>
    </w:p>
    <w:p>
      <w:pPr>
        <w:sectPr>
          <w:pgSz w:w="11900" w:h="16838" w:orient="portrait"/>
          <w:cols w:equalWidth="0" w:num="1">
            <w:col w:w="11520"/>
          </w:cols>
          <w:pgMar w:left="240" w:top="464" w:right="139" w:bottom="208" w:gutter="0" w:footer="0" w:header="0"/>
          <w:type w:val="continuous"/>
        </w:sectPr>
      </w:pPr>
    </w:p>
    <w:bookmarkStart w:id="11" w:name="page12"/>
    <w:bookmarkEnd w:id="11"/>
    <w:p>
      <w:pPr>
        <w:ind w:left="2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315" w:right="1440" w:bottom="1440" w:gutter="0" w:footer="0" w:header="0"/>
        </w:sectPr>
      </w:pPr>
    </w:p>
    <w:bookmarkStart w:id="12" w:name="page13"/>
    <w:bookmarkEnd w:id="12"/>
    <w:p>
      <w:pPr>
        <w:ind w:left="8"/>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2" w:lineRule="exact"/>
        <w:rPr>
          <w:sz w:val="20"/>
          <w:szCs w:val="20"/>
          <w:color w:val="auto"/>
        </w:rPr>
      </w:pPr>
    </w:p>
    <w:p>
      <w:pPr>
        <w:ind w:left="808" w:right="3279"/>
        <w:spacing w:after="0" w:line="244" w:lineRule="auto"/>
        <w:rPr>
          <w:sz w:val="20"/>
          <w:szCs w:val="20"/>
          <w:color w:val="auto"/>
        </w:rPr>
      </w:pPr>
      <w:r>
        <w:rPr>
          <w:rFonts w:ascii="Courier New" w:cs="Courier New" w:eastAsia="Courier New" w:hAnsi="Courier New"/>
          <w:sz w:val="15"/>
          <w:szCs w:val="15"/>
          <w:color w:val="auto"/>
        </w:rPr>
        <w:t>Cash equivalents include short-term, highly liquid investments with original term to maturity of 90 days or less. Cost approximates fair value.</w:t>
      </w:r>
    </w:p>
    <w:p>
      <w:pPr>
        <w:spacing w:after="0" w:line="175" w:lineRule="exact"/>
        <w:rPr>
          <w:sz w:val="20"/>
          <w:szCs w:val="20"/>
          <w:color w:val="auto"/>
        </w:rPr>
      </w:pPr>
    </w:p>
    <w:p>
      <w:pPr>
        <w:ind w:left="808" w:right="3019"/>
        <w:spacing w:after="0" w:line="244" w:lineRule="auto"/>
        <w:rPr>
          <w:sz w:val="20"/>
          <w:szCs w:val="20"/>
          <w:color w:val="auto"/>
        </w:rPr>
      </w:pPr>
      <w:r>
        <w:rPr>
          <w:rFonts w:ascii="Courier New" w:cs="Courier New" w:eastAsia="Courier New" w:hAnsi="Courier New"/>
          <w:sz w:val="15"/>
          <w:szCs w:val="15"/>
          <w:color w:val="auto"/>
        </w:rPr>
        <w:t>At December 31, 2002 and 2001, the Plan held certain investments in mutual funds managed by the Trustee. Purchases and sales of these mutual funds are open market transactions at fair value. Consequently, such transactions are permitted under the provisions of the Plan and exempt from prohibition of party-in-interest transactions under the IRS Code and ERISA.</w:t>
      </w:r>
    </w:p>
    <w:p>
      <w:pPr>
        <w:spacing w:after="0" w:line="350" w:lineRule="exact"/>
        <w:rPr>
          <w:sz w:val="20"/>
          <w:szCs w:val="20"/>
          <w:color w:val="auto"/>
        </w:rPr>
      </w:pPr>
    </w:p>
    <w:p>
      <w:pPr>
        <w:ind w:left="808" w:hanging="808"/>
        <w:spacing w:after="0"/>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SCOTTS COMPANY</w:t>
      </w:r>
    </w:p>
    <w:p>
      <w:pPr>
        <w:spacing w:after="0" w:line="177" w:lineRule="exact"/>
        <w:rPr>
          <w:rFonts w:ascii="Courier New" w:cs="Courier New" w:eastAsia="Courier New" w:hAnsi="Courier New"/>
          <w:sz w:val="15"/>
          <w:szCs w:val="15"/>
          <w:color w:val="auto"/>
        </w:rPr>
      </w:pPr>
    </w:p>
    <w:p>
      <w:pPr>
        <w:ind w:left="808"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2002 and 2001, the master trust had investments in The Scotts Company common shares, as follows:</w:t>
      </w:r>
    </w:p>
    <w:p>
      <w:pPr>
        <w:sectPr>
          <w:pgSz w:w="11900" w:h="16838" w:orient="portrait"/>
          <w:cols w:equalWidth="0" w:num="1">
            <w:col w:w="10227"/>
          </w:cols>
          <w:pgMar w:left="232" w:top="464"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FAIR MARKET</w:t>
      </w:r>
    </w:p>
    <w:p>
      <w:pPr>
        <w:spacing w:after="0" w:line="3" w:lineRule="exact"/>
        <w:rPr>
          <w:sz w:val="20"/>
          <w:szCs w:val="20"/>
          <w:color w:val="auto"/>
        </w:rPr>
      </w:pPr>
    </w:p>
    <w:p>
      <w:pPr>
        <w:ind w:left="1268"/>
        <w:spacing w:after="0"/>
        <w:tabs>
          <w:tab w:leader="none" w:pos="2947"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VALUE</w:t>
      </w:r>
    </w:p>
    <w:p>
      <w:pPr>
        <w:spacing w:after="0" w:line="3" w:lineRule="exact"/>
        <w:rPr>
          <w:sz w:val="20"/>
          <w:szCs w:val="20"/>
          <w:color w:val="auto"/>
        </w:rPr>
      </w:pPr>
    </w:p>
    <w:p>
      <w:pPr>
        <w:ind w:left="808"/>
        <w:spacing w:after="0"/>
        <w:tabs>
          <w:tab w:leader="none" w:pos="2587"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FAIR MARKET</w:t>
      </w:r>
    </w:p>
    <w:p>
      <w:pPr>
        <w:spacing w:after="0" w:line="3" w:lineRule="exact"/>
        <w:rPr>
          <w:sz w:val="20"/>
          <w:szCs w:val="20"/>
          <w:color w:val="auto"/>
        </w:rPr>
      </w:pPr>
    </w:p>
    <w:p>
      <w:pPr>
        <w:ind w:left="380"/>
        <w:spacing w:after="0"/>
        <w:tabs>
          <w:tab w:leader="none" w:pos="20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VALUE</w:t>
      </w:r>
    </w:p>
    <w:p>
      <w:pPr>
        <w:spacing w:after="0" w:line="4"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10" w:lineRule="exact"/>
        <w:rPr>
          <w:sz w:val="20"/>
          <w:szCs w:val="20"/>
          <w:color w:val="auto"/>
        </w:rPr>
      </w:pPr>
    </w:p>
    <w:p>
      <w:pPr>
        <w:sectPr>
          <w:pgSz w:w="11900" w:h="16838" w:orient="portrait"/>
          <w:cols w:equalWidth="0" w:num="2">
            <w:col w:w="3968" w:space="260"/>
            <w:col w:w="5999"/>
          </w:cols>
          <w:pgMar w:left="232" w:top="464" w:right="1440" w:bottom="1440" w:gutter="0" w:footer="0" w:header="0"/>
          <w:type w:val="continuous"/>
        </w:sectPr>
      </w:pPr>
    </w:p>
    <w:p>
      <w:pPr>
        <w:spacing w:after="0" w:line="324"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143,047</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firstLine="271"/>
        <w:spacing w:after="0" w:line="243" w:lineRule="auto"/>
        <w:rPr>
          <w:sz w:val="20"/>
          <w:szCs w:val="20"/>
          <w:color w:val="auto"/>
        </w:rPr>
      </w:pPr>
      <w:r>
        <w:rPr>
          <w:rFonts w:ascii="Courier New" w:cs="Courier New" w:eastAsia="Courier New" w:hAnsi="Courier New"/>
          <w:sz w:val="15"/>
          <w:szCs w:val="15"/>
          <w:color w:val="auto"/>
        </w:rPr>
        <w:t>$ 7,015,025 ===============</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142,567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$ 6,786,189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1" w:lineRule="exact"/>
        <w:rPr>
          <w:sz w:val="20"/>
          <w:szCs w:val="20"/>
          <w:color w:val="auto"/>
        </w:rPr>
      </w:pPr>
    </w:p>
    <w:p>
      <w:pPr>
        <w:sectPr>
          <w:pgSz w:w="11900" w:h="16838" w:orient="portrait"/>
          <w:cols w:equalWidth="0" w:num="4">
            <w:col w:w="2348" w:space="260"/>
            <w:col w:w="1360" w:space="260"/>
            <w:col w:w="1360" w:space="280"/>
            <w:col w:w="4359"/>
          </w:cols>
          <w:pgMar w:left="232" w:top="464" w:right="1440" w:bottom="1440" w:gutter="0" w:footer="0" w:header="0"/>
          <w:type w:val="continuous"/>
        </w:sectPr>
      </w:pPr>
    </w:p>
    <w:p>
      <w:pPr>
        <w:spacing w:after="0" w:line="323" w:lineRule="exact"/>
        <w:rPr>
          <w:sz w:val="20"/>
          <w:szCs w:val="20"/>
          <w:color w:val="auto"/>
        </w:rPr>
      </w:pPr>
    </w:p>
    <w:p>
      <w:pPr>
        <w:ind w:left="808" w:right="3199"/>
        <w:spacing w:after="0" w:line="244" w:lineRule="auto"/>
        <w:rPr>
          <w:sz w:val="20"/>
          <w:szCs w:val="20"/>
          <w:color w:val="auto"/>
        </w:rPr>
      </w:pPr>
      <w:r>
        <w:rPr>
          <w:rFonts w:ascii="Courier New" w:cs="Courier New" w:eastAsia="Courier New" w:hAnsi="Courier New"/>
          <w:sz w:val="15"/>
          <w:szCs w:val="15"/>
          <w:color w:val="auto"/>
        </w:rPr>
        <w:t>The Company's common shares are valued at quoted market prices, which were $49.04 per share at December 31, 2002 and $47.60 per share at December 31, 2001.</w:t>
      </w:r>
    </w:p>
    <w:p>
      <w:pPr>
        <w:spacing w:after="0" w:line="175" w:lineRule="exact"/>
        <w:rPr>
          <w:sz w:val="20"/>
          <w:szCs w:val="20"/>
          <w:color w:val="auto"/>
        </w:rPr>
      </w:pPr>
    </w:p>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w:t>
      </w:r>
    </w:p>
    <w:p>
      <w:pPr>
        <w:spacing w:after="0" w:line="177" w:lineRule="exact"/>
        <w:rPr>
          <w:rFonts w:ascii="Courier New" w:cs="Courier New" w:eastAsia="Courier New" w:hAnsi="Courier New"/>
          <w:sz w:val="15"/>
          <w:szCs w:val="15"/>
          <w:color w:val="auto"/>
        </w:rPr>
      </w:pPr>
    </w:p>
    <w:p>
      <w:pPr>
        <w:ind w:left="80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has not yet obtained a determination letter from the Internal Revenue Service stating that the Plan is in compliance with the applicable requirements of the Internal Revenue Code. However, the plan administrator (the Company) and the Plan's legal counsel believe that the Plan is currently designed and being operated in compliance with the applicable requirements of the Internal Revenue Code, and is therefore not subject to income taxes.</w:t>
      </w:r>
    </w:p>
    <w:p>
      <w:pPr>
        <w:spacing w:after="0" w:line="17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TO FORM 5500</w:t>
      </w:r>
    </w:p>
    <w:p>
      <w:pPr>
        <w:spacing w:after="0" w:line="177" w:lineRule="exact"/>
        <w:rPr>
          <w:rFonts w:ascii="Courier New" w:cs="Courier New" w:eastAsia="Courier New" w:hAnsi="Courier New"/>
          <w:sz w:val="15"/>
          <w:szCs w:val="15"/>
          <w:color w:val="auto"/>
        </w:rPr>
      </w:pPr>
    </w:p>
    <w:p>
      <w:pPr>
        <w:ind w:left="808"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net assets available for benefits per the financial statements to the Form 5500:</w:t>
      </w:r>
    </w:p>
    <w:p>
      <w:pPr>
        <w:sectPr>
          <w:pgSz w:w="11900" w:h="16838" w:orient="portrait"/>
          <w:cols w:equalWidth="0" w:num="1">
            <w:col w:w="10227"/>
          </w:cols>
          <w:pgMar w:left="232" w:top="4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YEAR ENDED</w:t>
      </w:r>
    </w:p>
    <w:p>
      <w:pPr>
        <w:spacing w:after="0" w:line="4" w:lineRule="exact"/>
        <w:rPr>
          <w:sz w:val="20"/>
          <w:szCs w:val="20"/>
          <w:color w:val="auto"/>
        </w:rPr>
      </w:pPr>
    </w:p>
    <w:p>
      <w:pPr>
        <w:ind w:left="4508"/>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460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588" w:space="180"/>
            <w:col w:w="4459"/>
          </w:cols>
          <w:pgMar w:left="232" w:top="464" w:right="1440" w:bottom="1440" w:gutter="0" w:footer="0" w:header="0"/>
          <w:type w:val="continuous"/>
        </w:sectPr>
      </w:pPr>
    </w:p>
    <w:p>
      <w:pPr>
        <w:spacing w:after="0" w:line="150"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Net assets available for benefits per</w:t>
      </w:r>
    </w:p>
    <w:p>
      <w:pPr>
        <w:sectPr>
          <w:pgSz w:w="11900" w:h="16838" w:orient="portrait"/>
          <w:cols w:equalWidth="0" w:num="1">
            <w:col w:w="10227"/>
          </w:cols>
          <w:pgMar w:left="232" w:top="464" w:right="1440" w:bottom="1440" w:gutter="0" w:footer="0" w:header="0"/>
          <w:type w:val="continuous"/>
        </w:sectPr>
      </w:pP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$ 126,450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$ 178,208</w:t>
      </w:r>
    </w:p>
    <w:p>
      <w:pPr>
        <w:spacing w:after="0" w:line="15" w:lineRule="exact"/>
        <w:rPr>
          <w:sz w:val="20"/>
          <w:szCs w:val="20"/>
          <w:color w:val="auto"/>
        </w:rPr>
      </w:pPr>
    </w:p>
    <w:p>
      <w:pPr>
        <w:sectPr>
          <w:pgSz w:w="11900" w:h="16838" w:orient="portrait"/>
          <w:cols w:equalWidth="0" w:num="3">
            <w:col w:w="3888" w:space="720"/>
            <w:col w:w="800" w:space="460"/>
            <w:col w:w="4359"/>
          </w:cols>
          <w:pgMar w:left="232" w:top="464" w:right="1440" w:bottom="1440" w:gutter="0" w:footer="0" w:header="0"/>
          <w:type w:val="continuous"/>
        </w:sectPr>
      </w:pPr>
    </w:p>
    <w:p>
      <w:pPr>
        <w:ind w:left="808"/>
        <w:spacing w:after="0"/>
        <w:rPr>
          <w:sz w:val="20"/>
          <w:szCs w:val="20"/>
          <w:color w:val="auto"/>
        </w:rPr>
      </w:pPr>
      <w:r>
        <w:rPr>
          <w:rFonts w:ascii="Courier New" w:cs="Courier New" w:eastAsia="Courier New" w:hAnsi="Courier New"/>
          <w:sz w:val="14"/>
          <w:szCs w:val="14"/>
          <w:color w:val="auto"/>
        </w:rPr>
        <w:t>Amounts allocated to withdrawing</w:t>
      </w:r>
    </w:p>
    <w:p>
      <w:pPr>
        <w:sectPr>
          <w:pgSz w:w="11900" w:h="16838" w:orient="portrait"/>
          <w:cols w:equalWidth="0" w:num="1">
            <w:col w:w="10227"/>
          </w:cols>
          <w:pgMar w:left="232" w:top="464" w:right="1440" w:bottom="1440" w:gutter="0" w:footer="0" w:header="0"/>
          <w:type w:val="continuous"/>
        </w:sectPr>
      </w:pPr>
    </w:p>
    <w:p>
      <w:pPr>
        <w:spacing w:after="0" w:line="1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participants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3">
            <w:col w:w="3888" w:space="720"/>
            <w:col w:w="800" w:space="460"/>
            <w:col w:w="4359"/>
          </w:cols>
          <w:pgMar w:left="232" w:top="464" w:right="1440" w:bottom="1440" w:gutter="0" w:footer="0" w:header="0"/>
          <w:type w:val="continuous"/>
        </w:sectPr>
      </w:pPr>
    </w:p>
    <w:p>
      <w:pPr>
        <w:ind w:left="808"/>
        <w:spacing w:after="0"/>
        <w:rPr>
          <w:sz w:val="20"/>
          <w:szCs w:val="20"/>
          <w:color w:val="auto"/>
        </w:rPr>
      </w:pPr>
      <w:r>
        <w:rPr>
          <w:rFonts w:ascii="Courier New" w:cs="Courier New" w:eastAsia="Courier New" w:hAnsi="Courier New"/>
          <w:sz w:val="15"/>
          <w:szCs w:val="15"/>
          <w:color w:val="auto"/>
        </w:rPr>
        <w:t>Net assets available for benefits</w:t>
      </w:r>
    </w:p>
    <w:p>
      <w:pPr>
        <w:sectPr>
          <w:pgSz w:w="11900" w:h="16838" w:orient="portrait"/>
          <w:cols w:equalWidth="0" w:num="1">
            <w:col w:w="10227"/>
          </w:cols>
          <w:pgMar w:left="232" w:top="464" w:right="1440" w:bottom="1440" w:gutter="0" w:footer="0" w:header="0"/>
          <w:type w:val="continuous"/>
        </w:sectPr>
      </w:pP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per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$ 126,450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$ 178,207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888" w:space="720"/>
            <w:col w:w="800" w:space="460"/>
            <w:col w:w="4359"/>
          </w:cols>
          <w:pgMar w:left="232" w:top="4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27"/>
          </w:cols>
          <w:pgMar w:left="232" w:top="464"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THE SCOTTS COMPANY UNION RETIREMENT SAVINGS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00" w:right="3099"/>
        <w:spacing w:after="0" w:line="243" w:lineRule="auto"/>
        <w:rPr>
          <w:sz w:val="20"/>
          <w:szCs w:val="20"/>
          <w:color w:val="auto"/>
        </w:rPr>
      </w:pPr>
      <w:r>
        <w:rPr>
          <w:rFonts w:ascii="Courier New" w:cs="Courier New" w:eastAsia="Courier New" w:hAnsi="Courier New"/>
          <w:sz w:val="15"/>
          <w:szCs w:val="15"/>
          <w:color w:val="auto"/>
        </w:rPr>
        <w:t>The following is a reconciliation of benefits paid to participants per the financial statements to the Form 5500:</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YEAR ENDED</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680" w:space="260"/>
            <w:col w:w="4279"/>
          </w:cols>
          <w:pgMar w:left="240" w:top="638" w:right="1440" w:bottom="1440" w:gutter="0" w:footer="0" w:header="0"/>
          <w:type w:val="continuous"/>
        </w:sectPr>
      </w:pPr>
    </w:p>
    <w:p>
      <w:pPr>
        <w:spacing w:after="0" w:line="151" w:lineRule="exact"/>
        <w:rPr>
          <w:sz w:val="20"/>
          <w:szCs w:val="20"/>
          <w:color w:val="auto"/>
        </w:rPr>
      </w:pPr>
    </w:p>
    <w:p>
      <w:pPr>
        <w:ind w:left="900"/>
        <w:spacing w:after="0"/>
        <w:rPr>
          <w:sz w:val="20"/>
          <w:szCs w:val="20"/>
          <w:color w:val="auto"/>
        </w:rPr>
      </w:pPr>
      <w:r>
        <w:rPr>
          <w:rFonts w:ascii="Courier New" w:cs="Courier New" w:eastAsia="Courier New" w:hAnsi="Courier New"/>
          <w:sz w:val="14"/>
          <w:szCs w:val="14"/>
          <w:color w:val="auto"/>
        </w:rPr>
        <w:t>Benefits paid to participants per</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$ 100,235</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17,419</w:t>
      </w:r>
    </w:p>
    <w:p>
      <w:pPr>
        <w:spacing w:after="0" w:line="4" w:lineRule="exact"/>
        <w:rPr>
          <w:sz w:val="20"/>
          <w:szCs w:val="20"/>
          <w:color w:val="auto"/>
        </w:rPr>
      </w:pPr>
    </w:p>
    <w:p>
      <w:pPr>
        <w:sectPr>
          <w:pgSz w:w="11900" w:h="16838" w:orient="portrait"/>
          <w:cols w:equalWidth="0" w:num="3">
            <w:col w:w="3960" w:space="720"/>
            <w:col w:w="820" w:space="540"/>
            <w:col w:w="4179"/>
          </w:cols>
          <w:pgMar w:left="240" w:top="638" w:right="1440" w:bottom="1440" w:gutter="0" w:footer="0" w:header="0"/>
          <w:type w:val="continuous"/>
        </w:sectPr>
      </w:pPr>
    </w:p>
    <w:p>
      <w:pPr>
        <w:ind w:left="900"/>
        <w:spacing w:after="0"/>
        <w:rPr>
          <w:sz w:val="20"/>
          <w:szCs w:val="20"/>
          <w:color w:val="auto"/>
        </w:rPr>
      </w:pPr>
      <w:r>
        <w:rPr>
          <w:rFonts w:ascii="Courier New" w:cs="Courier New" w:eastAsia="Courier New" w:hAnsi="Courier New"/>
          <w:sz w:val="14"/>
          <w:szCs w:val="14"/>
          <w:color w:val="auto"/>
        </w:rPr>
        <w:t>Amounts allocated to withdrawing</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participants at December 31, 2001</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6" w:lineRule="exact"/>
        <w:rPr>
          <w:sz w:val="20"/>
          <w:szCs w:val="20"/>
          <w:color w:val="auto"/>
        </w:rPr>
      </w:pPr>
    </w:p>
    <w:p>
      <w:pPr>
        <w:sectPr>
          <w:pgSz w:w="11900" w:h="16838" w:orient="portrait"/>
          <w:cols w:equalWidth="0" w:num="3">
            <w:col w:w="4600" w:space="720"/>
            <w:col w:w="720" w:space="720"/>
            <w:col w:w="3459"/>
          </w:cols>
          <w:pgMar w:left="240" w:top="638" w:right="1440" w:bottom="1440" w:gutter="0" w:footer="0" w:header="0"/>
          <w:type w:val="continuous"/>
        </w:sectPr>
      </w:pPr>
    </w:p>
    <w:p>
      <w:pPr>
        <w:ind w:left="900"/>
        <w:spacing w:after="0"/>
        <w:rPr>
          <w:sz w:val="20"/>
          <w:szCs w:val="20"/>
          <w:color w:val="auto"/>
        </w:rPr>
      </w:pPr>
      <w:r>
        <w:rPr>
          <w:rFonts w:ascii="Courier New" w:cs="Courier New" w:eastAsia="Courier New" w:hAnsi="Courier New"/>
          <w:sz w:val="14"/>
          <w:szCs w:val="14"/>
          <w:color w:val="auto"/>
        </w:rPr>
        <w:t>Amounts allocated to withdrawing</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participants at December 31, 2000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220" w:space="460"/>
            <w:col w:w="820" w:space="540"/>
            <w:col w:w="4179"/>
          </w:cols>
          <w:pgMar w:left="240" w:top="638" w:right="1440" w:bottom="1440" w:gutter="0" w:footer="0" w:header="0"/>
          <w:type w:val="continuous"/>
        </w:sectPr>
      </w:pPr>
    </w:p>
    <w:p>
      <w:pPr>
        <w:ind w:left="900"/>
        <w:spacing w:after="0"/>
        <w:rPr>
          <w:sz w:val="20"/>
          <w:szCs w:val="20"/>
          <w:color w:val="auto"/>
        </w:rPr>
      </w:pPr>
      <w:r>
        <w:rPr>
          <w:rFonts w:ascii="Courier New" w:cs="Courier New" w:eastAsia="Courier New" w:hAnsi="Courier New"/>
          <w:sz w:val="14"/>
          <w:szCs w:val="14"/>
          <w:color w:val="auto"/>
        </w:rPr>
        <w:t>Benefits paid to participants per</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the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$ 100,234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17,391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0" w:lineRule="exact"/>
        <w:rPr>
          <w:sz w:val="20"/>
          <w:szCs w:val="20"/>
          <w:color w:val="auto"/>
        </w:rPr>
      </w:pPr>
    </w:p>
    <w:p>
      <w:pPr>
        <w:sectPr>
          <w:pgSz w:w="11900" w:h="16838" w:orient="portrait"/>
          <w:cols w:equalWidth="0" w:num="3">
            <w:col w:w="3960" w:space="720"/>
            <w:col w:w="820" w:space="540"/>
            <w:col w:w="4179"/>
          </w:cols>
          <w:pgMar w:left="240" w:top="638"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19"/>
          </w:cols>
          <w:pgMar w:left="240" w:top="638" w:right="1440" w:bottom="1440" w:gutter="0" w:footer="0" w:header="0"/>
          <w:type w:val="continuous"/>
        </w:sectPr>
      </w:pPr>
    </w:p>
    <w:bookmarkStart w:id="14" w:name="page15"/>
    <w:bookmarkEnd w:id="14"/>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UNION RETIREMENT SAVINGS PLAN</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ANNUAL REPORT ON FORM 11-K</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FOR FISCAL YEAR ENDED DECEMBER 31, 2002</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1158"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1160" w:space="640"/>
            <w:col w:w="8419"/>
          </w:cols>
          <w:pgMar w:left="240" w:top="1158"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7" w:lineRule="exact"/>
        <w:rPr>
          <w:sz w:val="20"/>
          <w:szCs w:val="20"/>
          <w:color w:val="auto"/>
        </w:rPr>
      </w:pPr>
    </w:p>
    <w:p>
      <w:pPr>
        <w:sectPr>
          <w:pgSz w:w="11900" w:h="16838" w:orient="portrait"/>
          <w:cols w:equalWidth="0" w:num="2">
            <w:col w:w="1340" w:space="720"/>
            <w:col w:w="8159"/>
          </w:cols>
          <w:pgMar w:left="240" w:top="1158"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jc w:val="both"/>
        <w:ind w:right="3199"/>
        <w:spacing w:after="0" w:line="244" w:lineRule="auto"/>
        <w:rPr>
          <w:sz w:val="20"/>
          <w:szCs w:val="20"/>
          <w:color w:val="auto"/>
        </w:rPr>
      </w:pPr>
      <w:r>
        <w:rPr>
          <w:rFonts w:ascii="Courier New" w:cs="Courier New" w:eastAsia="Courier New" w:hAnsi="Courier New"/>
          <w:sz w:val="15"/>
          <w:szCs w:val="15"/>
          <w:color w:val="auto"/>
        </w:rPr>
        <w:t>Certification Pursuant to Title 18, United States Code, Section 1350, as Adopted Pursuant to Section 906 of the Sarbanes-Oxley Act of 2002</w:t>
      </w:r>
    </w:p>
    <w:p>
      <w:pPr>
        <w:sectPr>
          <w:pgSz w:w="11900" w:h="16838" w:orient="portrait"/>
          <w:cols w:equalWidth="0" w:num="2">
            <w:col w:w="1340" w:space="720"/>
            <w:col w:w="8159"/>
          </w:cols>
          <w:pgMar w:left="240" w:top="1158" w:right="1440" w:bottom="1440" w:gutter="0" w:footer="0" w:header="0"/>
          <w:type w:val="continuous"/>
        </w:sectPr>
      </w:pPr>
    </w:p>
    <w:bookmarkStart w:id="15" w:name="page16"/>
    <w:bookmarkEnd w:id="15"/>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(No.033-47073) of The Scotts Company of our report dated April 3, 2003 relating to the financial statements of The Scotts Company Union Retirement Savings Plan, which appears in this Form 11-K.</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27, 2003</w:t>
      </w:r>
    </w:p>
    <w:p>
      <w:pPr>
        <w:sectPr>
          <w:pgSz w:w="11900" w:h="16838" w:orient="portrait"/>
          <w:cols w:equalWidth="0" w:num="1">
            <w:col w:w="10219"/>
          </w:cols>
          <w:pgMar w:left="240" w:top="314" w:right="1440" w:bottom="1440" w:gutter="0" w:footer="0" w:header="0"/>
        </w:sectPr>
      </w:pPr>
    </w:p>
    <w:bookmarkStart w:id="16" w:name="page17"/>
    <w:bookmarkEnd w:id="16"/>
    <w:p>
      <w:pPr>
        <w:jc w:val="right"/>
        <w:ind w:right="3260"/>
        <w:spacing w:after="0"/>
        <w:rPr>
          <w:sz w:val="20"/>
          <w:szCs w:val="20"/>
          <w:color w:val="auto"/>
        </w:rPr>
      </w:pPr>
      <w:r>
        <w:rPr>
          <w:rFonts w:ascii="Courier New" w:cs="Courier New" w:eastAsia="Courier New" w:hAnsi="Courier New"/>
          <w:sz w:val="15"/>
          <w:szCs w:val="15"/>
          <w:color w:val="auto"/>
        </w:rPr>
        <w:t>Exhibit 99.1</w:t>
      </w:r>
    </w:p>
    <w:p>
      <w:pPr>
        <w:spacing w:after="0" w:line="177"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CERTIFICATION PURSUANT TO</w:t>
      </w:r>
    </w:p>
    <w:p>
      <w:pPr>
        <w:spacing w:after="0" w:line="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TITLE 18, UNITED STATES CODE, SECTION 1350,</w:t>
      </w:r>
    </w:p>
    <w:p>
      <w:pPr>
        <w:spacing w:after="0" w:line="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AS ADOPTED PURSUANT TO</w:t>
      </w:r>
    </w:p>
    <w:p>
      <w:pPr>
        <w:spacing w:after="0" w:line="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351" w:lineRule="exact"/>
        <w:rPr>
          <w:sz w:val="20"/>
          <w:szCs w:val="20"/>
          <w:color w:val="auto"/>
        </w:rPr>
      </w:pPr>
    </w:p>
    <w:p>
      <w:pPr>
        <w:ind w:right="3440"/>
        <w:spacing w:after="0" w:line="244" w:lineRule="auto"/>
        <w:rPr>
          <w:sz w:val="20"/>
          <w:szCs w:val="20"/>
          <w:color w:val="auto"/>
        </w:rPr>
      </w:pPr>
      <w:r>
        <w:rPr>
          <w:rFonts w:ascii="Courier New" w:cs="Courier New" w:eastAsia="Courier New" w:hAnsi="Courier New"/>
          <w:sz w:val="15"/>
          <w:szCs w:val="15"/>
          <w:color w:val="auto"/>
        </w:rPr>
        <w:t>In connection with the Annual Report on Form 11-K for the fiscal year ended December 31, 2002 as filed on behalf of The Scotts Company Union Retirement Savings Plan (the "Plan") with the Securities and Exchange Commission on the date hereof (the "Report"), the undersigned James Hagedorn, President, Chief Executive Officer and Chairman of the Board of The Scotts Company, and Christopher L. Nagel, Executive Vice President and Chief Financial Officer of The Scotts Company, certify, pursuant to Title 18, United States Code, Section 1350, as adopted pursuant to Section 906 of the Sarbanes-Oxley Act of 2002, that, to the best of their knowledge:</w:t>
      </w:r>
    </w:p>
    <w:p>
      <w:pPr>
        <w:spacing w:after="0" w:line="179" w:lineRule="exact"/>
        <w:rPr>
          <w:sz w:val="20"/>
          <w:szCs w:val="20"/>
          <w:color w:val="auto"/>
        </w:rPr>
      </w:pPr>
    </w:p>
    <w:p>
      <w:pPr>
        <w:ind w:left="1260" w:right="3440" w:hanging="636"/>
        <w:spacing w:after="0" w:line="243" w:lineRule="auto"/>
        <w:tabs>
          <w:tab w:leader="none" w:pos="12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15(d) of the Securities Exchange Act of 1934; and</w:t>
      </w:r>
    </w:p>
    <w:p>
      <w:pPr>
        <w:spacing w:after="0" w:line="176" w:lineRule="exact"/>
        <w:rPr>
          <w:rFonts w:ascii="Courier New" w:cs="Courier New" w:eastAsia="Courier New" w:hAnsi="Courier New"/>
          <w:sz w:val="15"/>
          <w:szCs w:val="15"/>
          <w:color w:val="auto"/>
        </w:rPr>
      </w:pPr>
    </w:p>
    <w:p>
      <w:pPr>
        <w:ind w:left="1260" w:right="3520" w:hanging="636"/>
        <w:spacing w:after="0" w:line="244" w:lineRule="auto"/>
        <w:tabs>
          <w:tab w:leader="none" w:pos="12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Plan.</w:t>
      </w:r>
    </w:p>
    <w:p>
      <w:pPr>
        <w:sectPr>
          <w:pgSz w:w="11900" w:h="16838" w:orient="portrait"/>
          <w:cols w:equalWidth="0" w:num="1">
            <w:col w:w="10460"/>
          </w:cols>
          <w:pgMar w:left="240" w:top="661"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HAGEDORN*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 and Chairman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The Scotts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Chief Financial Officer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sectPr>
          <w:pgSz w:w="11900" w:h="16838" w:orient="portrait"/>
          <w:cols w:equalWidth="0" w:num="2">
            <w:col w:w="4860" w:space="640"/>
            <w:col w:w="4960"/>
          </w:cols>
          <w:pgMar w:left="240" w:top="661" w:right="11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June 27,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27, 2003</w:t>
      </w:r>
    </w:p>
    <w:p>
      <w:pPr>
        <w:spacing w:after="0" w:line="200" w:lineRule="exact"/>
        <w:rPr>
          <w:sz w:val="20"/>
          <w:szCs w:val="20"/>
          <w:color w:val="auto"/>
        </w:rPr>
      </w:pPr>
    </w:p>
    <w:p>
      <w:pPr>
        <w:sectPr>
          <w:pgSz w:w="11900" w:h="16838" w:orient="portrait"/>
          <w:cols w:equalWidth="0" w:num="2">
            <w:col w:w="4780" w:space="720"/>
            <w:col w:w="4960"/>
          </w:cols>
          <w:pgMar w:left="240" w:top="661" w:right="119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00" w:right="3260"/>
        <w:spacing w:after="0" w:line="244" w:lineRule="auto"/>
        <w:rPr>
          <w:sz w:val="20"/>
          <w:szCs w:val="20"/>
          <w:color w:val="auto"/>
        </w:rPr>
      </w:pPr>
      <w:r>
        <w:rPr>
          <w:rFonts w:ascii="Courier New" w:cs="Courier New" w:eastAsia="Courier New" w:hAnsi="Courier New"/>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Scotts Company and will be retained by The Scotts Company and furnished to the Securities and Exchange Commission or its staff upon request.</w:t>
      </w:r>
    </w:p>
    <w:sectPr>
      <w:pgSz w:w="11900" w:h="16838" w:orient="portrait"/>
      <w:cols w:equalWidth="0" w:num="1">
        <w:col w:w="10460"/>
      </w:cols>
      <w:pgMar w:left="240" w:top="661" w:right="1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2019-12-20T06:23:24Z</dcterms:created>
  <dcterms:modified xsi:type="dcterms:W3CDTF">2019-12-20T06:23:24Z</dcterms:modified>
</cp:coreProperties>
</file>